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0525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C9F3E7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123FF1B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68371B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7F39F36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733257C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64E959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82BBCD3">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468F18E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F06924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1E0968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382836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2B988003">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F75CBC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3C6980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鲁人社函〔2025〕43号</w:t>
      </w:r>
    </w:p>
    <w:p w14:paraId="09C150E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7874B3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黑体" w:eastAsia="方正小标宋简体" w:cs="黑体"/>
          <w:color w:val="auto"/>
          <w:sz w:val="44"/>
          <w:szCs w:val="44"/>
          <w:lang w:eastAsia="zh"/>
        </w:rPr>
      </w:pPr>
      <w:r>
        <w:rPr>
          <w:rFonts w:hint="eastAsia" w:ascii="方正小标宋简体" w:hAnsi="黑体" w:eastAsia="方正小标宋简体" w:cs="黑体"/>
          <w:color w:val="auto"/>
          <w:sz w:val="44"/>
          <w:szCs w:val="44"/>
          <w:lang w:eastAsia="zh"/>
        </w:rPr>
        <w:t>山东省人力资源和社会保障厅等11部门</w:t>
      </w:r>
    </w:p>
    <w:p w14:paraId="670DAB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关于</w:t>
      </w:r>
      <w:r>
        <w:rPr>
          <w:rFonts w:hint="eastAsia" w:ascii="方正小标宋简体" w:hAnsi="黑体" w:eastAsia="方正小标宋简体" w:cs="黑体"/>
          <w:color w:val="auto"/>
          <w:sz w:val="44"/>
          <w:szCs w:val="44"/>
          <w:lang w:val="en-US" w:eastAsia="zh-CN"/>
        </w:rPr>
        <w:t>举办</w:t>
      </w:r>
      <w:r>
        <w:rPr>
          <w:rFonts w:hint="eastAsia" w:ascii="方正小标宋简体" w:hAnsi="方正小标宋简体" w:eastAsia="方正小标宋简体" w:cs="方正小标宋简体"/>
          <w:i w:val="0"/>
          <w:caps w:val="0"/>
          <w:color w:val="auto"/>
          <w:spacing w:val="8"/>
          <w:sz w:val="44"/>
          <w:szCs w:val="44"/>
          <w:shd w:val="clear" w:fill="FFFFFF"/>
        </w:rPr>
        <w:t>第</w:t>
      </w:r>
      <w:r>
        <w:rPr>
          <w:rFonts w:hint="eastAsia" w:ascii="方正小标宋简体" w:hAnsi="方正小标宋简体" w:eastAsia="方正小标宋简体" w:cs="方正小标宋简体"/>
          <w:i w:val="0"/>
          <w:caps w:val="0"/>
          <w:color w:val="auto"/>
          <w:spacing w:val="8"/>
          <w:sz w:val="44"/>
          <w:szCs w:val="44"/>
          <w:shd w:val="clear" w:fill="FFFFFF"/>
          <w:lang w:val="en-US" w:eastAsia="zh-CN"/>
        </w:rPr>
        <w:t>二</w:t>
      </w:r>
      <w:r>
        <w:rPr>
          <w:rFonts w:hint="eastAsia" w:ascii="方正小标宋简体" w:hAnsi="方正小标宋简体" w:eastAsia="方正小标宋简体" w:cs="方正小标宋简体"/>
          <w:i w:val="0"/>
          <w:caps w:val="0"/>
          <w:color w:val="auto"/>
          <w:spacing w:val="8"/>
          <w:sz w:val="44"/>
          <w:szCs w:val="44"/>
          <w:shd w:val="clear" w:fill="FFFFFF"/>
        </w:rPr>
        <w:t>届</w:t>
      </w:r>
      <w:r>
        <w:rPr>
          <w:rFonts w:hint="eastAsia" w:ascii="方正小标宋简体" w:hAnsi="黑体" w:eastAsia="方正小标宋简体" w:cs="黑体"/>
          <w:color w:val="auto"/>
          <w:sz w:val="44"/>
          <w:szCs w:val="44"/>
          <w:lang w:val="en-US" w:eastAsia="zh-CN"/>
        </w:rPr>
        <w:t>山东省</w:t>
      </w:r>
      <w:r>
        <w:rPr>
          <w:rFonts w:hint="eastAsia" w:ascii="方正小标宋简体" w:hAnsi="方正小标宋简体" w:eastAsia="方正小标宋简体" w:cs="方正小标宋简体"/>
          <w:i w:val="0"/>
          <w:caps w:val="0"/>
          <w:color w:val="auto"/>
          <w:spacing w:val="8"/>
          <w:sz w:val="44"/>
          <w:szCs w:val="44"/>
          <w:shd w:val="clear" w:fill="FFFFFF"/>
        </w:rPr>
        <w:t>职业技能大赛</w:t>
      </w:r>
      <w:r>
        <w:rPr>
          <w:rFonts w:hint="eastAsia" w:ascii="方正小标宋简体" w:hAnsi="黑体" w:eastAsia="方正小标宋简体" w:cs="黑体"/>
          <w:color w:val="auto"/>
          <w:sz w:val="44"/>
          <w:szCs w:val="44"/>
        </w:rPr>
        <w:t>的通知</w:t>
      </w:r>
    </w:p>
    <w:p w14:paraId="3BD3981A">
      <w:pPr>
        <w:keepNext w:val="0"/>
        <w:keepLines w:val="0"/>
        <w:pageBreakBefore w:val="0"/>
        <w:widowControl w:val="0"/>
        <w:tabs>
          <w:tab w:val="left" w:pos="1222"/>
        </w:tabs>
        <w:kinsoku/>
        <w:wordWrap/>
        <w:overflowPunct/>
        <w:topLinePunct w:val="0"/>
        <w:autoSpaceDE/>
        <w:autoSpaceDN/>
        <w:bidi w:val="0"/>
        <w:adjustRightInd/>
        <w:snapToGrid/>
        <w:spacing w:line="560" w:lineRule="exact"/>
        <w:ind w:left="0" w:leftChars="0" w:right="0" w:rightChars="0"/>
        <w:jc w:val="left"/>
        <w:textAlignment w:val="auto"/>
        <w:rPr>
          <w:rFonts w:hint="eastAsia" w:eastAsia="宋体"/>
          <w:color w:val="auto"/>
          <w:kern w:val="2"/>
          <w:sz w:val="21"/>
          <w:szCs w:val="24"/>
          <w:lang w:eastAsia="zh-CN" w:bidi="ar-SA"/>
        </w:rPr>
      </w:pPr>
    </w:p>
    <w:p w14:paraId="3CF413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各市人力资源社会保障局、教育</w:t>
      </w:r>
      <w:bookmarkStart w:id="0" w:name="OLE_LINK3"/>
      <w:r>
        <w:rPr>
          <w:rFonts w:hint="eastAsia" w:ascii="仿宋_GB2312" w:hAnsi="仿宋_GB2312" w:eastAsia="仿宋_GB2312" w:cs="仿宋_GB2312"/>
          <w:i w:val="0"/>
          <w:caps w:val="0"/>
          <w:color w:val="auto"/>
          <w:spacing w:val="0"/>
          <w:sz w:val="32"/>
          <w:szCs w:val="32"/>
          <w:shd w:val="clear" w:color="auto" w:fill="auto"/>
          <w:lang w:val="en-US" w:eastAsia="zh-CN"/>
        </w:rPr>
        <w:t>局</w:t>
      </w:r>
      <w:bookmarkEnd w:id="0"/>
      <w:r>
        <w:rPr>
          <w:rFonts w:hint="eastAsia" w:ascii="仿宋_GB2312" w:hAnsi="仿宋_GB2312" w:eastAsia="仿宋_GB2312" w:cs="仿宋_GB2312"/>
          <w:i w:val="0"/>
          <w:caps w:val="0"/>
          <w:color w:val="auto"/>
          <w:spacing w:val="0"/>
          <w:sz w:val="32"/>
          <w:szCs w:val="32"/>
          <w:shd w:val="clear" w:color="auto" w:fill="auto"/>
          <w:lang w:val="en-US" w:eastAsia="zh-CN"/>
        </w:rPr>
        <w:t>、工业和信息化局、财政局、国资委、</w:t>
      </w:r>
      <w:bookmarkStart w:id="1" w:name="OLE_LINK4"/>
      <w:r>
        <w:rPr>
          <w:rFonts w:hint="eastAsia" w:ascii="仿宋_GB2312" w:hAnsi="仿宋_GB2312" w:eastAsia="仿宋_GB2312" w:cs="仿宋_GB2312"/>
          <w:i w:val="0"/>
          <w:caps w:val="0"/>
          <w:color w:val="auto"/>
          <w:spacing w:val="0"/>
          <w:sz w:val="32"/>
          <w:szCs w:val="32"/>
          <w:shd w:val="clear" w:color="auto" w:fill="auto"/>
          <w:lang w:val="en-US" w:eastAsia="zh-CN"/>
        </w:rPr>
        <w:t>总工会</w:t>
      </w:r>
      <w:bookmarkEnd w:id="1"/>
      <w:r>
        <w:rPr>
          <w:rFonts w:hint="eastAsia" w:ascii="仿宋_GB2312" w:hAnsi="仿宋_GB2312" w:eastAsia="仿宋_GB2312" w:cs="仿宋_GB2312"/>
          <w:i w:val="0"/>
          <w:caps w:val="0"/>
          <w:color w:val="auto"/>
          <w:spacing w:val="0"/>
          <w:sz w:val="32"/>
          <w:szCs w:val="32"/>
          <w:shd w:val="clear" w:color="auto" w:fill="auto"/>
          <w:lang w:val="en-US" w:eastAsia="zh-CN"/>
        </w:rPr>
        <w:t>、团市委、妇联、工商联、中华职教社，省直有关部门，有关省属企业、省属院校：</w:t>
      </w:r>
    </w:p>
    <w:p w14:paraId="6E48B7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为全面落实习近平总书记对技能人才工作的重要指示批示精神，培育壮大我省高技能人才队伍，定于2025年5月举办第二届山东省职业技能大赛（以下简称第二届省赛）。现将有关事项通知如下：</w:t>
      </w:r>
    </w:p>
    <w:p w14:paraId="25A246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一、大赛主题</w:t>
      </w:r>
    </w:p>
    <w:p w14:paraId="7D698C55">
      <w:pPr>
        <w:pStyle w:val="8"/>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hint="eastAsia" w:hAnsi="仿宋_GB2312" w:eastAsia="仿宋_GB2312" w:cs="仿宋_GB2312"/>
          <w:color w:val="auto"/>
          <w:szCs w:val="32"/>
          <w:shd w:val="clear" w:color="auto" w:fill="auto"/>
          <w:lang w:val="en-US" w:eastAsia="zh-CN"/>
        </w:rPr>
      </w:pPr>
      <w:r>
        <w:rPr>
          <w:rFonts w:hint="eastAsia" w:hAnsi="仿宋_GB2312" w:eastAsia="仿宋_GB2312" w:cs="仿宋_GB2312"/>
          <w:color w:val="auto"/>
          <w:szCs w:val="32"/>
          <w:shd w:val="clear" w:color="auto" w:fill="auto"/>
          <w:lang w:val="en-US" w:eastAsia="zh-CN"/>
        </w:rPr>
        <w:t>智汇齐鲁 技创未来</w:t>
      </w:r>
    </w:p>
    <w:p w14:paraId="005194F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二、竞赛安排</w:t>
      </w:r>
    </w:p>
    <w:p w14:paraId="2EFC56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（一）比赛形式和地点。</w:t>
      </w:r>
      <w:r>
        <w:rPr>
          <w:rFonts w:hint="eastAsia" w:ascii="仿宋_GB2312" w:hAnsi="仿宋_GB2312" w:eastAsia="仿宋_GB2312" w:cs="仿宋_GB2312"/>
          <w:i w:val="0"/>
          <w:caps w:val="0"/>
          <w:color w:val="auto"/>
          <w:spacing w:val="0"/>
          <w:sz w:val="32"/>
          <w:szCs w:val="32"/>
          <w:shd w:val="clear"/>
          <w:lang w:val="en-US" w:eastAsia="zh-CN"/>
        </w:rPr>
        <w:t>采取</w:t>
      </w:r>
      <w:r>
        <w:rPr>
          <w:rFonts w:hint="eastAsia" w:ascii="仿宋_GB2312" w:hAnsi="仿宋_GB2312" w:eastAsia="仿宋_GB2312" w:cs="仿宋_GB2312"/>
          <w:color w:val="auto"/>
          <w:sz w:val="32"/>
          <w:szCs w:val="32"/>
          <w:lang w:val="en-US" w:eastAsia="zh-CN"/>
        </w:rPr>
        <w:t>主赛场和分赛场相结合的方式，主赛场比赛地点设在济南黄河国际会展中心；分赛场比赛地点设在相关承接单位，具体地点另行通知。</w:t>
      </w:r>
    </w:p>
    <w:p w14:paraId="6C1312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（二）比赛时间。</w:t>
      </w:r>
      <w:r>
        <w:rPr>
          <w:rFonts w:hint="eastAsia" w:ascii="仿宋_GB2312" w:hAnsi="仿宋_GB2312" w:eastAsia="仿宋_GB2312" w:cs="仿宋_GB2312"/>
          <w:color w:val="auto"/>
          <w:sz w:val="32"/>
          <w:szCs w:val="32"/>
          <w:lang w:val="en-US" w:eastAsia="zh-CN"/>
        </w:rPr>
        <w:t>主赛场比赛时间定于2025年5月进行，具体比赛时间另行通知；分赛场各赛项具体比赛时间根据实际确定，具体比赛时间另行通知。</w:t>
      </w:r>
    </w:p>
    <w:p w14:paraId="403F4D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（三）竞赛项目。</w:t>
      </w:r>
      <w:r>
        <w:rPr>
          <w:rFonts w:hint="eastAsia" w:ascii="仿宋_GB2312" w:hAnsi="仿宋_GB2312" w:eastAsia="仿宋_GB2312" w:cs="仿宋_GB2312"/>
          <w:color w:val="auto"/>
          <w:sz w:val="32"/>
          <w:szCs w:val="32"/>
          <w:lang w:val="en-US" w:eastAsia="zh-CN"/>
        </w:rPr>
        <w:t>设竞赛项目106项（见附件1，含中华人民共和国第三届职业技能大赛山东省选拔赛第一、第二批次比赛项目19个）。其中，世赛选拔项目66项、国赛精选项目40项。</w:t>
      </w:r>
    </w:p>
    <w:p w14:paraId="2CE046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（四）参赛方式。</w:t>
      </w:r>
      <w:r>
        <w:rPr>
          <w:rFonts w:hint="eastAsia" w:ascii="仿宋_GB2312" w:hAnsi="仿宋_GB2312" w:eastAsia="仿宋_GB2312" w:cs="仿宋_GB2312"/>
          <w:color w:val="auto"/>
          <w:sz w:val="32"/>
          <w:szCs w:val="32"/>
          <w:lang w:val="en-US" w:eastAsia="zh-CN"/>
        </w:rPr>
        <w:t>以设区的市为单位组队参赛，央属、省属单位按属地原则参加当地选拔，各参赛代</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每个竞赛项目限报1名（团队项目为1队）选手。</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中华人民共和国第二届职业技能大赛中我省获优胜奖及以上选手所在单位，增加1个参赛名额。</w:t>
      </w:r>
    </w:p>
    <w:p w14:paraId="250512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（五）参赛选手</w:t>
      </w:r>
    </w:p>
    <w:p w14:paraId="4AACD1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auto"/>
          <w:spacing w:val="0"/>
          <w:kern w:val="0"/>
          <w:sz w:val="32"/>
          <w:szCs w:val="32"/>
          <w:lang w:val="en-US" w:eastAsia="zh-CN" w:bidi="ar"/>
        </w:rPr>
        <w:t>1.世赛选拔项目：参赛选手</w:t>
      </w:r>
      <w:r>
        <w:rPr>
          <w:rFonts w:hint="eastAsia" w:ascii="仿宋_GB2312" w:hAnsi="宋体" w:eastAsia="仿宋_GB2312" w:cs="仿宋_GB2312"/>
          <w:snapToGrid w:val="0"/>
          <w:color w:val="auto"/>
          <w:spacing w:val="0"/>
          <w:kern w:val="0"/>
          <w:sz w:val="32"/>
          <w:szCs w:val="32"/>
          <w:lang w:val="en-US" w:eastAsia="zh-CN" w:bidi="ar"/>
        </w:rPr>
        <w:t>应为2004年1月1日以后出生，在属地工作学习的企业职工和各类院校的教师、学生</w:t>
      </w:r>
      <w:r>
        <w:rPr>
          <w:rFonts w:hint="default" w:ascii="仿宋_GB2312" w:hAnsi="宋体" w:eastAsia="仿宋_GB2312" w:cs="仿宋_GB2312"/>
          <w:color w:val="auto"/>
          <w:spacing w:val="0"/>
          <w:kern w:val="0"/>
          <w:sz w:val="32"/>
          <w:szCs w:val="32"/>
          <w:lang w:val="en-US" w:eastAsia="zh-CN" w:bidi="ar"/>
        </w:rPr>
        <w:t>。</w:t>
      </w:r>
      <w:r>
        <w:rPr>
          <w:rFonts w:hint="eastAsia" w:ascii="仿宋_GB2312" w:hAnsi="仿宋_GB2312" w:eastAsia="仿宋_GB2312" w:cs="仿宋_GB2312"/>
          <w:color w:val="auto"/>
          <w:sz w:val="32"/>
          <w:szCs w:val="32"/>
          <w:lang w:val="en-US" w:eastAsia="zh-CN"/>
        </w:rPr>
        <w:t>其中，飞机维修、信息网络布线、制造团队挑战赛、机电一体化、网络安全、水处理技术、云计算、光电技术、工业4.0、工业设计技术、机器人系统集成、增材制造、数字建造、口腔修复工艺技术等14个项目选手为2001年1月1日后出生。</w:t>
      </w:r>
    </w:p>
    <w:p w14:paraId="43CECB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宋体" w:eastAsia="仿宋_GB2312" w:cs="仿宋_GB2312"/>
          <w:color w:val="auto"/>
          <w:spacing w:val="0"/>
          <w:kern w:val="0"/>
          <w:sz w:val="32"/>
          <w:szCs w:val="32"/>
          <w:lang w:val="en-US" w:eastAsia="zh-CN" w:bidi="ar"/>
        </w:rPr>
        <w:t>2.国赛精选项目：参赛选手应为16周岁以上(2009年1月1日以前出生)、法定退休年龄以内的且在属地工作的相应职业从业人员（职工身份，缴纳社保满1年以上）。</w:t>
      </w:r>
      <w:r>
        <w:rPr>
          <w:rFonts w:hint="eastAsia" w:ascii="仿宋_GB2312" w:hAnsi="仿宋_GB2312" w:eastAsia="仿宋_GB2312" w:cs="仿宋_GB2312"/>
          <w:color w:val="auto"/>
          <w:sz w:val="32"/>
          <w:szCs w:val="32"/>
          <w:lang w:val="en-US" w:eastAsia="zh-CN"/>
        </w:rPr>
        <w:t>其中，化工总控、药物制剂、盾构技术、中式烹调（羊肉烘烤）、中式面点、装配钳工、光电信息技术、互联网营销、漆艺技术、工业机器人系统操作、智能制造工程技术、育婴、劳动关系协调师、社会体育指导（健身）、服装制版、鸿蒙应用开发、区块链技术、养老护理、餐厅服务等19个项目优先推荐企业职工；</w:t>
      </w:r>
      <w:r>
        <w:rPr>
          <w:rFonts w:hint="eastAsia" w:ascii="仿宋_GB2312" w:hAnsi="仿宋_GB2312" w:eastAsia="仿宋_GB2312" w:cs="仿宋_GB2312"/>
          <w:color w:val="auto"/>
          <w:spacing w:val="0"/>
          <w:sz w:val="32"/>
          <w:szCs w:val="32"/>
          <w:lang w:val="en-US" w:eastAsia="zh-CN"/>
        </w:rPr>
        <w:t>人工智能工程技术、工业互联网工程技术</w:t>
      </w:r>
      <w:r>
        <w:rPr>
          <w:rFonts w:hint="eastAsia" w:ascii="仿宋_GB2312" w:hAnsi="仿宋_GB2312" w:eastAsia="仿宋_GB2312" w:cs="仿宋_GB2312"/>
          <w:color w:val="auto"/>
          <w:sz w:val="32"/>
          <w:szCs w:val="32"/>
          <w:lang w:val="en-US" w:eastAsia="zh-CN"/>
        </w:rPr>
        <w:t>2个项目须为</w:t>
      </w:r>
      <w:r>
        <w:rPr>
          <w:rFonts w:hint="eastAsia" w:ascii="仿宋_GB2312" w:hAnsi="仿宋_GB2312" w:eastAsia="仿宋_GB2312" w:cs="仿宋_GB2312"/>
          <w:color w:val="auto"/>
          <w:kern w:val="2"/>
          <w:sz w:val="32"/>
          <w:szCs w:val="32"/>
          <w:lang w:val="en-US" w:eastAsia="zh-CN" w:bidi="ar"/>
        </w:rPr>
        <w:t>企业专业技术人员。</w:t>
      </w:r>
    </w:p>
    <w:p w14:paraId="0D51E0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
        </w:rPr>
        <w:t>3.各参赛代表队国赛精选项目选手中企业职工人数比例原则上不得低于50%。</w:t>
      </w:r>
    </w:p>
    <w:p w14:paraId="1ED41F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、组织工作</w:t>
      </w:r>
    </w:p>
    <w:p w14:paraId="42FB8E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第二届省赛由省政府主办，省人力资源社会保障厅联合</w:t>
      </w:r>
      <w:bookmarkStart w:id="2" w:name="OLE_LINK10"/>
      <w:bookmarkStart w:id="3" w:name="OLE_LINK2"/>
      <w:r>
        <w:rPr>
          <w:rFonts w:hint="eastAsia" w:ascii="仿宋_GB2312" w:hAnsi="仿宋_GB2312" w:eastAsia="仿宋_GB2312" w:cs="仿宋_GB2312"/>
          <w:i w:val="0"/>
          <w:caps w:val="0"/>
          <w:color w:val="auto"/>
          <w:spacing w:val="0"/>
          <w:sz w:val="32"/>
          <w:szCs w:val="32"/>
          <w:shd w:val="clear" w:color="auto" w:fill="auto"/>
          <w:lang w:val="en-US" w:eastAsia="zh-CN"/>
        </w:rPr>
        <w:t>省</w:t>
      </w:r>
      <w:bookmarkEnd w:id="2"/>
      <w:bookmarkStart w:id="4" w:name="OLE_LINK1"/>
      <w:r>
        <w:rPr>
          <w:rFonts w:hint="eastAsia" w:ascii="仿宋_GB2312" w:hAnsi="仿宋_GB2312" w:eastAsia="仿宋_GB2312" w:cs="仿宋_GB2312"/>
          <w:i w:val="0"/>
          <w:caps w:val="0"/>
          <w:color w:val="auto"/>
          <w:spacing w:val="0"/>
          <w:sz w:val="32"/>
          <w:szCs w:val="32"/>
          <w:shd w:val="clear" w:color="auto" w:fill="auto"/>
          <w:lang w:val="en-US" w:eastAsia="zh-CN"/>
        </w:rPr>
        <w:t>教育厅、省工业和信息化厅、省财政厅、省国资委、省总工会、团省委、省妇联、省工商联、省中华职教社</w:t>
      </w:r>
      <w:bookmarkEnd w:id="3"/>
      <w:r>
        <w:rPr>
          <w:rFonts w:hint="eastAsia" w:ascii="仿宋_GB2312" w:hAnsi="仿宋_GB2312" w:eastAsia="仿宋_GB2312" w:cs="仿宋_GB2312"/>
          <w:i w:val="0"/>
          <w:caps w:val="0"/>
          <w:color w:val="auto"/>
          <w:spacing w:val="0"/>
          <w:sz w:val="32"/>
          <w:szCs w:val="32"/>
          <w:shd w:val="clear" w:color="auto" w:fill="auto"/>
          <w:lang w:val="en-US" w:eastAsia="zh-CN"/>
        </w:rPr>
        <w:t>和济南市政府</w:t>
      </w:r>
      <w:bookmarkEnd w:id="4"/>
      <w:r>
        <w:rPr>
          <w:rFonts w:hint="eastAsia" w:ascii="仿宋_GB2312" w:hAnsi="仿宋_GB2312" w:eastAsia="仿宋_GB2312" w:cs="仿宋_GB2312"/>
          <w:i w:val="0"/>
          <w:caps w:val="0"/>
          <w:color w:val="auto"/>
          <w:spacing w:val="0"/>
          <w:sz w:val="32"/>
          <w:szCs w:val="32"/>
          <w:shd w:val="clear" w:color="auto" w:fill="auto"/>
          <w:lang w:val="en-US" w:eastAsia="zh-CN"/>
        </w:rPr>
        <w:t>共同承办，济南市人力资源和社会保障局等协办。成立第二届省赛组织委员会（以下</w:t>
      </w:r>
      <w:bookmarkStart w:id="5" w:name="OLE_LINK7"/>
      <w:r>
        <w:rPr>
          <w:rFonts w:hint="eastAsia" w:ascii="仿宋_GB2312" w:hAnsi="仿宋_GB2312" w:eastAsia="仿宋_GB2312" w:cs="仿宋_GB2312"/>
          <w:i w:val="0"/>
          <w:caps w:val="0"/>
          <w:color w:val="auto"/>
          <w:spacing w:val="0"/>
          <w:sz w:val="32"/>
          <w:szCs w:val="32"/>
          <w:shd w:val="clear" w:color="auto" w:fill="auto"/>
          <w:lang w:val="en-US" w:eastAsia="zh-CN"/>
        </w:rPr>
        <w:t>简称第二届省赛组委会</w:t>
      </w:r>
      <w:bookmarkEnd w:id="5"/>
      <w:r>
        <w:rPr>
          <w:rFonts w:hint="eastAsia" w:ascii="仿宋_GB2312" w:hAnsi="仿宋_GB2312" w:eastAsia="仿宋_GB2312" w:cs="仿宋_GB2312"/>
          <w:i w:val="0"/>
          <w:caps w:val="0"/>
          <w:color w:val="auto"/>
          <w:spacing w:val="0"/>
          <w:sz w:val="32"/>
          <w:szCs w:val="32"/>
          <w:shd w:val="clear" w:color="auto" w:fill="auto"/>
          <w:lang w:val="en-US" w:eastAsia="zh-CN"/>
        </w:rPr>
        <w:t>），负责统筹决策和部署推动赛事各项重点工作。第二届省赛组委会下设办公室，设在省人力资源社会保障厅，负责竞赛的具体组织实施和日常协调工作。</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济南市政府牵头成立第二届省赛执委会，负责主赛场的赛事组织工作。</w:t>
      </w:r>
    </w:p>
    <w:p w14:paraId="3BD556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各市成立相应工作机构，负责组织实施本市选手选拔、推荐、参赛等工作，由大赛组委会办公室提供指导。</w:t>
      </w:r>
    </w:p>
    <w:p w14:paraId="05A12030">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cs="黑体"/>
          <w:b w:val="0"/>
          <w:bCs/>
          <w:color w:val="auto"/>
          <w:sz w:val="32"/>
          <w:szCs w:val="32"/>
          <w:lang w:val="en-US" w:eastAsia="zh-CN"/>
        </w:rPr>
        <w:t>四</w:t>
      </w:r>
      <w:r>
        <w:rPr>
          <w:rFonts w:hint="eastAsia" w:ascii="黑体" w:hAnsi="黑体" w:eastAsia="黑体" w:cs="黑体"/>
          <w:b w:val="0"/>
          <w:bCs/>
          <w:color w:val="auto"/>
          <w:sz w:val="32"/>
          <w:szCs w:val="32"/>
          <w:lang w:val="en-US" w:eastAsia="zh-CN"/>
        </w:rPr>
        <w:t>、技术工作</w:t>
      </w:r>
    </w:p>
    <w:p w14:paraId="6CACF4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第二届省赛参照世界技能大赛技术标准、国家职业标准（三级/高级工及以上）或行业企业评价规范相应等级，制定技术规则和技术文件。</w:t>
      </w:r>
    </w:p>
    <w:p w14:paraId="4F1F91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组委会办公室统筹赛事技术工作。聘请相关赛事专家担任竞赛项目裁判长，由其组织制定技术文件、命制比赛试题、确定评判标准、负责比赛评判工作等。选派熟悉比赛场地、设施设备技术要求的专业人员担任场地经理，由其负责各竞赛项目设备设施和工具材料等技术保障工作。裁判员原则上由各参赛代表队推荐。</w:t>
      </w:r>
    </w:p>
    <w:p w14:paraId="0C9EF4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第二届省赛有关信息，将在山东省技能人才评价工作网</w:t>
      </w:r>
      <w:r>
        <w:rPr>
          <w:rFonts w:hint="default" w:ascii="仿宋_GB2312" w:hAnsi="仿宋_GB2312" w:eastAsia="仿宋_GB2312" w:cs="仿宋_GB2312"/>
          <w:i w:val="0"/>
          <w:caps w:val="0"/>
          <w:color w:val="auto"/>
          <w:spacing w:val="0"/>
          <w:sz w:val="32"/>
          <w:szCs w:val="32"/>
          <w:shd w:val="clear" w:color="auto" w:fill="auto"/>
          <w:lang w:val="en-US"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http://www.sdosta.org.cn</w:t>
      </w:r>
      <w:r>
        <w:rPr>
          <w:rFonts w:hint="default" w:ascii="仿宋_GB2312" w:hAnsi="仿宋_GB2312" w:eastAsia="仿宋_GB2312" w:cs="仿宋_GB2312"/>
          <w:i w:val="0"/>
          <w:caps w:val="0"/>
          <w:color w:val="auto"/>
          <w:spacing w:val="0"/>
          <w:sz w:val="32"/>
          <w:szCs w:val="32"/>
          <w:shd w:val="clear" w:color="auto" w:fill="auto"/>
          <w:lang w:val="en-US"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“第二届山东省职业技能大赛”专栏公布。</w:t>
      </w:r>
    </w:p>
    <w:p w14:paraId="58C2B79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五、奖励政策</w:t>
      </w:r>
    </w:p>
    <w:p w14:paraId="52A922D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（一）个人奖励</w:t>
      </w:r>
    </w:p>
    <w:p w14:paraId="561E892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rPr>
      </w:pPr>
      <w:r>
        <w:rPr>
          <w:rFonts w:hint="eastAsia" w:ascii="楷体_GB2312" w:hAnsi="楷体_GB2312" w:eastAsia="楷体_GB2312" w:cs="楷体_GB2312"/>
          <w:color w:val="auto"/>
          <w:kern w:val="2"/>
          <w:sz w:val="32"/>
          <w:szCs w:val="32"/>
          <w:lang w:val="en-US" w:eastAsia="zh-CN" w:bidi="ar-SA"/>
        </w:rPr>
        <w:t>1.奖项和奖金。</w:t>
      </w:r>
      <w:r>
        <w:rPr>
          <w:rFonts w:hint="eastAsia" w:ascii="仿宋_GB2312" w:hAnsi="仿宋_GB2312" w:eastAsia="仿宋_GB2312" w:cs="仿宋_GB2312"/>
          <w:color w:val="auto"/>
          <w:sz w:val="32"/>
          <w:lang w:eastAsia="zh-CN"/>
        </w:rPr>
        <w:t>根据</w:t>
      </w:r>
      <w:r>
        <w:rPr>
          <w:rFonts w:hint="eastAsia" w:ascii="仿宋_GB2312" w:hAnsi="仿宋_GB2312" w:eastAsia="仿宋_GB2312" w:cs="仿宋_GB2312"/>
          <w:color w:val="auto"/>
          <w:sz w:val="32"/>
          <w:szCs w:val="32"/>
          <w:lang w:val="en-US" w:eastAsia="zh-CN"/>
        </w:rPr>
        <w:t>《山东省职业技能竞赛管理试行办法》规定，</w:t>
      </w:r>
      <w:r>
        <w:rPr>
          <w:rFonts w:hint="eastAsia" w:ascii="仿宋_GB2312" w:hAnsi="仿宋_GB2312" w:eastAsia="仿宋_GB2312" w:cs="仿宋_GB2312"/>
          <w:color w:val="auto"/>
          <w:sz w:val="32"/>
        </w:rPr>
        <w:t>对各竞赛项目获得前3名的选手颁发金、银、铜牌，并分别给予5000元、3000元、2000元奖励，对前3名以外但排名在实际参赛人数1/2以上的选手颁发优胜奖奖牌。</w:t>
      </w:r>
    </w:p>
    <w:p w14:paraId="1FA1F79D">
      <w:pPr>
        <w:pStyle w:val="5"/>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rPr>
      </w:pPr>
      <w:r>
        <w:rPr>
          <w:rFonts w:hint="eastAsia" w:ascii="楷体_GB2312" w:hAnsi="楷体_GB2312" w:eastAsia="楷体_GB2312" w:cs="楷体_GB2312"/>
          <w:color w:val="auto"/>
          <w:kern w:val="2"/>
          <w:sz w:val="32"/>
          <w:szCs w:val="24"/>
          <w:lang w:val="en-US" w:eastAsia="zh-CN" w:bidi="ar-SA"/>
        </w:rPr>
        <w:t>2.山东省技术能手。</w:t>
      </w:r>
      <w:r>
        <w:rPr>
          <w:rFonts w:hint="eastAsia" w:ascii="仿宋_GB2312" w:hAnsi="仿宋_GB2312" w:eastAsia="仿宋_GB2312" w:cs="仿宋_GB2312"/>
          <w:color w:val="auto"/>
          <w:sz w:val="32"/>
        </w:rPr>
        <w:t>对获得</w:t>
      </w:r>
      <w:r>
        <w:rPr>
          <w:rFonts w:hint="eastAsia" w:ascii="仿宋_GB2312" w:hAnsi="仿宋_GB2312" w:eastAsia="仿宋_GB2312" w:cs="仿宋_GB2312"/>
          <w:color w:val="auto"/>
          <w:sz w:val="32"/>
          <w:lang w:val="en-US" w:eastAsia="zh-CN"/>
        </w:rPr>
        <w:t>各竞赛项目</w:t>
      </w:r>
      <w:r>
        <w:rPr>
          <w:rFonts w:hint="eastAsia" w:ascii="仿宋_GB2312" w:hAnsi="仿宋_GB2312" w:eastAsia="仿宋_GB2312" w:cs="仿宋_GB2312"/>
          <w:bCs w:val="0"/>
          <w:color w:val="auto"/>
          <w:sz w:val="32"/>
        </w:rPr>
        <w:t>金牌、银牌、铜牌的选手，</w:t>
      </w:r>
      <w:r>
        <w:rPr>
          <w:rFonts w:hint="eastAsia" w:ascii="仿宋_GB2312" w:hAnsi="仿宋_GB2312" w:eastAsia="仿宋_GB2312" w:cs="仿宋_GB2312"/>
          <w:i w:val="0"/>
          <w:caps w:val="0"/>
          <w:color w:val="auto"/>
          <w:spacing w:val="0"/>
          <w:sz w:val="32"/>
          <w:szCs w:val="24"/>
          <w:shd w:val="clear"/>
        </w:rPr>
        <w:t>经核准授予“</w:t>
      </w:r>
      <w:r>
        <w:rPr>
          <w:rFonts w:hint="eastAsia" w:ascii="仿宋_GB2312" w:hAnsi="仿宋_GB2312" w:eastAsia="仿宋_GB2312" w:cs="仿宋_GB2312"/>
          <w:color w:val="auto"/>
          <w:kern w:val="2"/>
          <w:sz w:val="32"/>
          <w:szCs w:val="24"/>
          <w:lang w:val="en-US" w:eastAsia="zh-CN" w:bidi="ar-SA"/>
        </w:rPr>
        <w:t>山东省技术能手</w:t>
      </w:r>
      <w:r>
        <w:rPr>
          <w:rFonts w:hint="eastAsia" w:ascii="仿宋_GB2312" w:hAnsi="仿宋_GB2312" w:eastAsia="仿宋_GB2312" w:cs="仿宋_GB2312"/>
          <w:i w:val="0"/>
          <w:caps w:val="0"/>
          <w:color w:val="auto"/>
          <w:spacing w:val="0"/>
          <w:sz w:val="32"/>
          <w:szCs w:val="24"/>
          <w:shd w:val="clear"/>
        </w:rPr>
        <w:t>”</w:t>
      </w:r>
      <w:r>
        <w:rPr>
          <w:rFonts w:hint="eastAsia" w:ascii="仿宋_GB2312" w:hAnsi="仿宋_GB2312" w:eastAsia="仿宋_GB2312" w:cs="仿宋_GB2312"/>
          <w:i w:val="0"/>
          <w:caps w:val="0"/>
          <w:color w:val="auto"/>
          <w:spacing w:val="0"/>
          <w:sz w:val="32"/>
          <w:szCs w:val="24"/>
          <w:shd w:val="clear"/>
          <w:lang w:eastAsia="zh-CN"/>
        </w:rPr>
        <w:t>。</w:t>
      </w:r>
      <w:r>
        <w:rPr>
          <w:rFonts w:hint="eastAsia" w:ascii="仿宋_GB2312" w:hAnsi="仿宋_GB2312" w:eastAsia="仿宋_GB2312" w:cs="仿宋_GB2312"/>
          <w:color w:val="auto"/>
          <w:kern w:val="2"/>
          <w:sz w:val="32"/>
          <w:szCs w:val="24"/>
          <w:lang w:val="en-US" w:eastAsia="zh-CN" w:bidi="ar-SA"/>
        </w:rPr>
        <w:t>已获得</w:t>
      </w:r>
      <w:r>
        <w:rPr>
          <w:rFonts w:hint="eastAsia" w:ascii="仿宋_GB2312" w:hAnsi="仿宋_GB2312" w:eastAsia="仿宋_GB2312" w:cs="仿宋_GB2312"/>
          <w:i w:val="0"/>
          <w:caps w:val="0"/>
          <w:color w:val="auto"/>
          <w:spacing w:val="0"/>
          <w:sz w:val="32"/>
          <w:szCs w:val="24"/>
          <w:shd w:val="clear"/>
        </w:rPr>
        <w:t>“</w:t>
      </w:r>
      <w:r>
        <w:rPr>
          <w:rFonts w:hint="eastAsia" w:ascii="仿宋_GB2312" w:hAnsi="仿宋_GB2312" w:eastAsia="仿宋_GB2312" w:cs="仿宋_GB2312"/>
          <w:color w:val="auto"/>
          <w:kern w:val="2"/>
          <w:sz w:val="32"/>
          <w:szCs w:val="24"/>
          <w:lang w:val="en-US" w:eastAsia="zh-CN" w:bidi="ar-SA"/>
        </w:rPr>
        <w:t>山东省技术能手</w:t>
      </w:r>
      <w:r>
        <w:rPr>
          <w:rFonts w:hint="eastAsia" w:ascii="仿宋_GB2312" w:hAnsi="仿宋_GB2312" w:eastAsia="仿宋_GB2312" w:cs="仿宋_GB2312"/>
          <w:i w:val="0"/>
          <w:caps w:val="0"/>
          <w:color w:val="auto"/>
          <w:spacing w:val="0"/>
          <w:sz w:val="32"/>
          <w:szCs w:val="24"/>
          <w:shd w:val="clear"/>
        </w:rPr>
        <w:t>”</w:t>
      </w:r>
      <w:r>
        <w:rPr>
          <w:rFonts w:hint="eastAsia" w:ascii="仿宋_GB2312" w:hAnsi="仿宋_GB2312" w:eastAsia="仿宋_GB2312" w:cs="仿宋_GB2312"/>
          <w:i w:val="0"/>
          <w:caps w:val="0"/>
          <w:color w:val="auto"/>
          <w:spacing w:val="0"/>
          <w:sz w:val="32"/>
          <w:szCs w:val="24"/>
          <w:shd w:val="clear"/>
          <w:lang w:val="en-US" w:eastAsia="zh-CN"/>
        </w:rPr>
        <w:t>的，不再重复</w:t>
      </w:r>
      <w:r>
        <w:rPr>
          <w:rFonts w:hint="eastAsia" w:ascii="仿宋_GB2312" w:hAnsi="仿宋_GB2312" w:eastAsia="仿宋_GB2312" w:cs="仿宋_GB2312"/>
          <w:i w:val="0"/>
          <w:caps w:val="0"/>
          <w:color w:val="auto"/>
          <w:spacing w:val="0"/>
          <w:sz w:val="32"/>
          <w:szCs w:val="24"/>
          <w:shd w:val="clear"/>
        </w:rPr>
        <w:t>授予</w:t>
      </w:r>
      <w:r>
        <w:rPr>
          <w:rFonts w:hint="eastAsia" w:ascii="仿宋_GB2312" w:hAnsi="仿宋_GB2312" w:eastAsia="仿宋_GB2312" w:cs="仿宋_GB2312"/>
          <w:i w:val="0"/>
          <w:caps w:val="0"/>
          <w:color w:val="auto"/>
          <w:spacing w:val="0"/>
          <w:sz w:val="32"/>
          <w:szCs w:val="24"/>
          <w:shd w:val="clear"/>
          <w:lang w:eastAsia="zh-CN"/>
        </w:rPr>
        <w:t>。</w:t>
      </w:r>
    </w:p>
    <w:p w14:paraId="7108F23E">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i w:val="0"/>
          <w:caps w:val="0"/>
          <w:color w:val="auto"/>
          <w:spacing w:val="0"/>
          <w:sz w:val="32"/>
          <w:szCs w:val="24"/>
          <w:shd w:val="clear"/>
          <w:lang w:val="en-US" w:eastAsia="zh-CN"/>
        </w:rPr>
        <w:t>3.</w:t>
      </w:r>
      <w:r>
        <w:rPr>
          <w:rFonts w:hint="eastAsia" w:ascii="楷体_GB2312" w:hAnsi="楷体_GB2312" w:eastAsia="楷体_GB2312" w:cs="楷体_GB2312"/>
          <w:color w:val="auto"/>
          <w:sz w:val="32"/>
        </w:rPr>
        <w:t>职业资格或职业技能等级</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专业技术职务</w:t>
      </w:r>
      <w:r>
        <w:rPr>
          <w:rFonts w:hint="eastAsia" w:ascii="楷体_GB2312" w:hAnsi="楷体_GB2312" w:eastAsia="楷体_GB2312" w:cs="楷体_GB2312"/>
          <w:i w:val="0"/>
          <w:caps w:val="0"/>
          <w:color w:val="auto"/>
          <w:spacing w:val="0"/>
          <w:sz w:val="32"/>
          <w:szCs w:val="24"/>
          <w:shd w:val="clear"/>
          <w:lang w:eastAsia="zh-CN"/>
        </w:rPr>
        <w:t>。</w:t>
      </w:r>
      <w:r>
        <w:rPr>
          <w:rFonts w:hint="eastAsia" w:ascii="仿宋_GB2312" w:hAnsi="仿宋_GB2312" w:eastAsia="仿宋_GB2312" w:cs="仿宋_GB2312"/>
          <w:color w:val="auto"/>
          <w:sz w:val="32"/>
        </w:rPr>
        <w:t>技能类各竞赛项目优胜奖及以上获奖选手可直接晋升技师（二级）职业技能等级，已具有与比赛项目相同或相近职业技师（二级）职业技能等级或职业资格的，可晋升对应职业高级技师（一级）。本职业现行最高技能等级为技师（二级）的，不再晋升。</w:t>
      </w:r>
    </w:p>
    <w:p w14:paraId="30978DF5">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专业技术类竞赛项目获得金、银、铜牌的选手，可破格申报高级职称；获得优胜奖的选手，可</w:t>
      </w:r>
      <w:r>
        <w:rPr>
          <w:rFonts w:hint="eastAsia" w:ascii="仿宋_GB2312" w:hAnsi="仿宋_GB2312" w:eastAsia="仿宋_GB2312" w:cs="仿宋_GB2312"/>
          <w:color w:val="auto"/>
          <w:sz w:val="32"/>
          <w:lang w:val="en-US" w:eastAsia="zh-CN"/>
        </w:rPr>
        <w:t>申报</w:t>
      </w:r>
      <w:r>
        <w:rPr>
          <w:rFonts w:hint="eastAsia" w:ascii="仿宋_GB2312" w:hAnsi="仿宋_GB2312" w:eastAsia="仿宋_GB2312" w:cs="仿宋_GB2312"/>
          <w:color w:val="auto"/>
          <w:sz w:val="32"/>
        </w:rPr>
        <w:t>中级职称。职业技能等级证书按照有关规定颁发，已具有相应职业技能等级证书的，不再重复颁发。职称证书</w:t>
      </w:r>
      <w:r>
        <w:rPr>
          <w:rFonts w:hint="eastAsia" w:ascii="仿宋_GB2312" w:hAnsi="仿宋_GB2312" w:eastAsia="仿宋_GB2312" w:cs="仿宋_GB2312"/>
          <w:color w:val="auto"/>
          <w:sz w:val="32"/>
          <w:lang w:val="en-US" w:eastAsia="zh-CN"/>
        </w:rPr>
        <w:t>按职称管理权限</w:t>
      </w:r>
      <w:r>
        <w:rPr>
          <w:rFonts w:hint="eastAsia" w:ascii="仿宋_GB2312" w:hAnsi="仿宋_GB2312" w:eastAsia="仿宋_GB2312" w:cs="仿宋_GB2312"/>
          <w:color w:val="auto"/>
          <w:sz w:val="32"/>
        </w:rPr>
        <w:t>申请办理。</w:t>
      </w:r>
    </w:p>
    <w:p w14:paraId="62A94911">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rPr>
      </w:pPr>
      <w:r>
        <w:rPr>
          <w:rFonts w:hint="eastAsia" w:ascii="楷体_GB2312" w:hAnsi="楷体_GB2312" w:eastAsia="楷体_GB2312" w:cs="楷体_GB2312"/>
          <w:b w:val="0"/>
          <w:bCs w:val="0"/>
          <w:color w:val="auto"/>
          <w:kern w:val="2"/>
          <w:sz w:val="32"/>
          <w:szCs w:val="24"/>
          <w:lang w:val="en-US" w:eastAsia="zh-CN" w:bidi="ar-SA"/>
        </w:rPr>
        <w:t>4.省集训队。</w:t>
      </w:r>
      <w:r>
        <w:rPr>
          <w:rFonts w:hint="eastAsia" w:ascii="仿宋_GB2312" w:hAnsi="仿宋_GB2312" w:eastAsia="仿宋_GB2312" w:cs="仿宋_GB2312"/>
          <w:b w:val="0"/>
          <w:bCs w:val="0"/>
          <w:color w:val="auto"/>
          <w:kern w:val="2"/>
          <w:sz w:val="32"/>
          <w:szCs w:val="24"/>
          <w:lang w:val="en-US" w:eastAsia="zh-CN" w:bidi="ar-SA"/>
        </w:rPr>
        <w:t>各竞赛项目前3名的选手，入选省集训队。</w:t>
      </w:r>
    </w:p>
    <w:p w14:paraId="2309FF6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（二）团体奖励</w:t>
      </w:r>
    </w:p>
    <w:p w14:paraId="0AC16F3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24"/>
        </w:rPr>
      </w:pPr>
      <w:r>
        <w:rPr>
          <w:rFonts w:hint="eastAsia" w:ascii="仿宋_GB2312" w:hAnsi="仿宋_GB2312" w:eastAsia="仿宋_GB2312" w:cs="仿宋_GB2312"/>
          <w:i w:val="0"/>
          <w:caps w:val="0"/>
          <w:color w:val="auto"/>
          <w:spacing w:val="0"/>
          <w:sz w:val="32"/>
          <w:szCs w:val="24"/>
          <w:shd w:val="clear"/>
          <w:lang w:val="en-US" w:eastAsia="zh-CN"/>
        </w:rPr>
        <w:t>1.以设区的市为单位设团体总分排名榜，团体总分由获奖分和参赛分组成。获奖分按每个赛项计金牌5分、银牌4分、铜牌3分、优胜奖2分；参赛分按每参加一个赛项计1分。</w:t>
      </w:r>
      <w:r>
        <w:rPr>
          <w:rFonts w:hint="eastAsia" w:ascii="仿宋_GB2312" w:hAnsi="仿宋_GB2312" w:eastAsia="仿宋_GB2312" w:cs="仿宋_GB2312"/>
          <w:color w:val="auto"/>
          <w:sz w:val="32"/>
          <w:szCs w:val="24"/>
          <w:lang w:val="en-US" w:eastAsia="zh-CN"/>
        </w:rPr>
        <w:t>参赛代</w:t>
      </w:r>
      <w:r>
        <w:rPr>
          <w:rFonts w:hint="eastAsia" w:ascii="仿宋_GB2312" w:hAnsi="仿宋_GB2312" w:eastAsia="仿宋_GB2312" w:cs="仿宋_GB2312"/>
          <w:color w:val="auto"/>
          <w:sz w:val="32"/>
          <w:szCs w:val="24"/>
        </w:rPr>
        <w:t>表</w:t>
      </w:r>
      <w:r>
        <w:rPr>
          <w:rFonts w:hint="eastAsia" w:ascii="仿宋_GB2312" w:hAnsi="仿宋_GB2312" w:eastAsia="仿宋_GB2312" w:cs="仿宋_GB2312"/>
          <w:color w:val="auto"/>
          <w:sz w:val="32"/>
          <w:szCs w:val="24"/>
          <w:lang w:val="en-US" w:eastAsia="zh-CN"/>
        </w:rPr>
        <w:t>队</w:t>
      </w:r>
      <w:r>
        <w:rPr>
          <w:rFonts w:hint="eastAsia" w:ascii="仿宋_GB2312" w:hAnsi="仿宋_GB2312" w:eastAsia="仿宋_GB2312" w:cs="仿宋_GB2312"/>
          <w:color w:val="auto"/>
          <w:sz w:val="32"/>
          <w:szCs w:val="24"/>
          <w:lang w:eastAsia="zh-CN"/>
        </w:rPr>
        <w:t>单</w:t>
      </w:r>
      <w:r>
        <w:rPr>
          <w:rFonts w:hint="eastAsia" w:ascii="仿宋_GB2312" w:hAnsi="仿宋_GB2312" w:eastAsia="仿宋_GB2312" w:cs="仿宋_GB2312"/>
          <w:color w:val="auto"/>
          <w:sz w:val="32"/>
          <w:szCs w:val="24"/>
        </w:rPr>
        <w:t>个赛项</w:t>
      </w:r>
      <w:r>
        <w:rPr>
          <w:rFonts w:hint="eastAsia" w:ascii="仿宋_GB2312" w:hAnsi="仿宋_GB2312" w:eastAsia="仿宋_GB2312" w:cs="仿宋_GB2312"/>
          <w:color w:val="auto"/>
          <w:sz w:val="32"/>
          <w:szCs w:val="24"/>
          <w:lang w:eastAsia="zh-CN"/>
        </w:rPr>
        <w:t>有</w:t>
      </w:r>
      <w:r>
        <w:rPr>
          <w:rFonts w:hint="eastAsia" w:ascii="仿宋_GB2312" w:hAnsi="仿宋_GB2312" w:eastAsia="仿宋_GB2312" w:cs="仿宋_GB2312"/>
          <w:color w:val="auto"/>
          <w:sz w:val="32"/>
          <w:szCs w:val="24"/>
          <w:lang w:val="en-US" w:eastAsia="zh-CN"/>
        </w:rPr>
        <w:t>2</w:t>
      </w:r>
      <w:r>
        <w:rPr>
          <w:rFonts w:hint="eastAsia" w:ascii="仿宋_GB2312" w:hAnsi="仿宋_GB2312" w:eastAsia="仿宋_GB2312" w:cs="仿宋_GB2312"/>
          <w:color w:val="auto"/>
          <w:sz w:val="32"/>
          <w:szCs w:val="24"/>
        </w:rPr>
        <w:t>名（团队项目为</w:t>
      </w:r>
      <w:r>
        <w:rPr>
          <w:rFonts w:hint="eastAsia" w:ascii="仿宋_GB2312" w:hAnsi="仿宋_GB2312" w:eastAsia="仿宋_GB2312" w:cs="仿宋_GB2312"/>
          <w:color w:val="auto"/>
          <w:sz w:val="32"/>
          <w:szCs w:val="24"/>
          <w:lang w:val="en-US" w:eastAsia="zh-CN"/>
        </w:rPr>
        <w:t>2</w:t>
      </w:r>
      <w:r>
        <w:rPr>
          <w:rFonts w:hint="eastAsia" w:ascii="仿宋_GB2312" w:hAnsi="仿宋_GB2312" w:eastAsia="仿宋_GB2312" w:cs="仿宋_GB2312"/>
          <w:color w:val="auto"/>
          <w:sz w:val="32"/>
          <w:szCs w:val="24"/>
        </w:rPr>
        <w:t>队）选手</w:t>
      </w:r>
      <w:r>
        <w:rPr>
          <w:rFonts w:hint="eastAsia" w:ascii="仿宋_GB2312" w:hAnsi="仿宋_GB2312" w:eastAsia="仿宋_GB2312" w:cs="仿宋_GB2312"/>
          <w:color w:val="auto"/>
          <w:sz w:val="32"/>
          <w:szCs w:val="24"/>
          <w:lang w:eastAsia="zh-CN"/>
        </w:rPr>
        <w:t>的，获奖分只计最高分</w:t>
      </w:r>
      <w:r>
        <w:rPr>
          <w:rFonts w:hint="eastAsia" w:ascii="仿宋_GB2312" w:hAnsi="仿宋_GB2312" w:eastAsia="仿宋_GB2312" w:cs="仿宋_GB2312"/>
          <w:color w:val="auto"/>
          <w:sz w:val="32"/>
          <w:szCs w:val="24"/>
        </w:rPr>
        <w:t>。</w:t>
      </w:r>
    </w:p>
    <w:p w14:paraId="46BEB47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24"/>
          <w:shd w:val="clear"/>
          <w:lang w:val="en-US" w:eastAsia="zh-CN"/>
        </w:rPr>
      </w:pPr>
      <w:r>
        <w:rPr>
          <w:rFonts w:hint="eastAsia" w:ascii="仿宋_GB2312" w:hAnsi="仿宋_GB2312" w:eastAsia="仿宋_GB2312" w:cs="仿宋_GB2312"/>
          <w:i w:val="0"/>
          <w:caps w:val="0"/>
          <w:color w:val="auto"/>
          <w:spacing w:val="0"/>
          <w:sz w:val="32"/>
          <w:szCs w:val="24"/>
          <w:shd w:val="clear"/>
          <w:lang w:val="en-US" w:eastAsia="zh-CN"/>
        </w:rPr>
        <w:t>2.</w:t>
      </w:r>
      <w:r>
        <w:rPr>
          <w:rFonts w:hint="eastAsia" w:ascii="仿宋_GB2312" w:hAnsi="仿宋_GB2312" w:eastAsia="仿宋_GB2312" w:cs="仿宋_GB2312"/>
          <w:i w:val="0"/>
          <w:caps w:val="0"/>
          <w:color w:val="auto"/>
          <w:spacing w:val="0"/>
          <w:sz w:val="32"/>
          <w:szCs w:val="24"/>
          <w:shd w:val="clear"/>
        </w:rPr>
        <w:t>为积极组织参赛、开展赛前选拔集训、赛中未发生违规违纪行为的参赛代表</w:t>
      </w:r>
      <w:r>
        <w:rPr>
          <w:rFonts w:hint="eastAsia" w:ascii="仿宋_GB2312" w:hAnsi="仿宋_GB2312" w:eastAsia="仿宋_GB2312" w:cs="仿宋_GB2312"/>
          <w:i w:val="0"/>
          <w:caps w:val="0"/>
          <w:color w:val="auto"/>
          <w:spacing w:val="0"/>
          <w:sz w:val="32"/>
          <w:szCs w:val="24"/>
          <w:shd w:val="clear"/>
          <w:lang w:eastAsia="zh-CN"/>
        </w:rPr>
        <w:t>队，以及为比赛作出贡献的有关单位</w:t>
      </w:r>
      <w:r>
        <w:rPr>
          <w:rFonts w:hint="eastAsia" w:ascii="仿宋_GB2312" w:hAnsi="仿宋_GB2312" w:eastAsia="仿宋_GB2312" w:cs="仿宋_GB2312"/>
          <w:i w:val="0"/>
          <w:caps w:val="0"/>
          <w:color w:val="auto"/>
          <w:spacing w:val="0"/>
          <w:sz w:val="32"/>
          <w:szCs w:val="24"/>
          <w:shd w:val="clear"/>
        </w:rPr>
        <w:t>颁发“优秀组织奖”。</w:t>
      </w:r>
    </w:p>
    <w:p w14:paraId="1AF5F68F">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（三）其他奖励</w:t>
      </w:r>
    </w:p>
    <w:p w14:paraId="456B700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为获得优胜奖及以上选手的指导教师（教练）颁发获奖选手指导教师（教练）证书。</w:t>
      </w:r>
    </w:p>
    <w:p w14:paraId="5B8B119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2.</w:t>
      </w:r>
      <w:r>
        <w:rPr>
          <w:rFonts w:hint="eastAsia" w:ascii="仿宋_GB2312" w:hAnsi="仿宋_GB2312" w:eastAsia="仿宋_GB2312" w:cs="仿宋_GB2312"/>
          <w:i w:val="0"/>
          <w:caps w:val="0"/>
          <w:color w:val="auto"/>
          <w:spacing w:val="0"/>
          <w:sz w:val="32"/>
          <w:szCs w:val="24"/>
          <w:shd w:val="clear"/>
        </w:rPr>
        <w:t>为各项目裁判长、裁判长助理和裁判员颁发执裁证书</w:t>
      </w:r>
      <w:r>
        <w:rPr>
          <w:rFonts w:hint="eastAsia" w:ascii="仿宋_GB2312" w:hAnsi="仿宋_GB2312" w:eastAsia="仿宋_GB2312" w:cs="仿宋_GB2312"/>
          <w:color w:val="auto"/>
          <w:kern w:val="2"/>
          <w:sz w:val="32"/>
          <w:szCs w:val="24"/>
          <w:lang w:val="en-US" w:eastAsia="zh-CN" w:bidi="ar-SA"/>
        </w:rPr>
        <w:t>。</w:t>
      </w:r>
    </w:p>
    <w:p w14:paraId="0ECBFD7B">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3.对第二届省赛参赛组织工作表现突出的集体和个人给予通报表扬。</w:t>
      </w:r>
    </w:p>
    <w:p w14:paraId="11D118F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六、工作要求</w:t>
      </w:r>
    </w:p>
    <w:p w14:paraId="3583FA6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3"/>
          <w:kern w:val="0"/>
          <w:sz w:val="32"/>
          <w:szCs w:val="32"/>
          <w:lang w:val="en-US" w:eastAsia="zh-CN" w:bidi="ar"/>
        </w:rPr>
      </w:pPr>
      <w:r>
        <w:rPr>
          <w:rFonts w:hint="eastAsia" w:ascii="仿宋_GB2312" w:hAnsi="仿宋_GB2312" w:eastAsia="仿宋_GB2312" w:cs="仿宋_GB2312"/>
          <w:color w:val="auto"/>
          <w:spacing w:val="2"/>
          <w:kern w:val="2"/>
          <w:sz w:val="32"/>
          <w:szCs w:val="32"/>
          <w:lang w:val="en-US" w:eastAsia="zh-CN" w:bidi="ar-SA"/>
        </w:rPr>
        <w:t>（一）各市人力资源社会保障局要高度重视，积极会同市直有关部门广泛发动、精心组织，公平公正公开组织好市级选拔，</w:t>
      </w:r>
      <w:r>
        <w:rPr>
          <w:rFonts w:hint="eastAsia" w:ascii="仿宋_GB2312" w:hAnsi="仿宋_GB2312" w:eastAsia="仿宋_GB2312" w:cs="仿宋_GB2312"/>
          <w:color w:val="auto"/>
          <w:spacing w:val="3"/>
          <w:kern w:val="0"/>
          <w:sz w:val="32"/>
          <w:szCs w:val="32"/>
          <w:lang w:val="en-US" w:eastAsia="zh-CN" w:bidi="ar"/>
        </w:rPr>
        <w:t>认真做好技术保障工作，选拔推荐优秀选手参加第二届省赛。要充分利用各类媒体加强宣传，弘扬工匠精神，营造良好的技能成才氛围。</w:t>
      </w:r>
    </w:p>
    <w:p w14:paraId="0DD26320">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w:t>
      </w:r>
      <w:r>
        <w:rPr>
          <w:rFonts w:hint="eastAsia" w:ascii="仿宋_GB2312" w:hAnsi="仿宋_GB2312" w:eastAsia="仿宋_GB2312" w:cs="仿宋_GB2312"/>
          <w:color w:val="auto"/>
          <w:spacing w:val="0"/>
          <w:kern w:val="2"/>
          <w:sz w:val="32"/>
          <w:szCs w:val="32"/>
          <w:lang w:val="en-US" w:eastAsia="zh-CN" w:bidi="ar-SA"/>
        </w:rPr>
        <w:t>各市</w:t>
      </w:r>
      <w:r>
        <w:rPr>
          <w:rFonts w:hint="default" w:ascii="仿宋_GB2312" w:hAnsi="仿宋_GB2312" w:eastAsia="仿宋_GB2312" w:cs="仿宋_GB2312"/>
          <w:color w:val="auto"/>
          <w:spacing w:val="0"/>
          <w:kern w:val="2"/>
          <w:sz w:val="32"/>
          <w:szCs w:val="32"/>
          <w:lang w:eastAsia="zh-CN" w:bidi="ar-SA"/>
        </w:rPr>
        <w:t>人力资源社会保障</w:t>
      </w:r>
      <w:r>
        <w:rPr>
          <w:rFonts w:hint="eastAsia" w:ascii="仿宋_GB2312" w:hAnsi="仿宋_GB2312" w:eastAsia="仿宋_GB2312" w:cs="仿宋_GB2312"/>
          <w:color w:val="auto"/>
          <w:spacing w:val="0"/>
          <w:kern w:val="2"/>
          <w:sz w:val="32"/>
          <w:szCs w:val="32"/>
          <w:lang w:val="en-US" w:eastAsia="zh-CN" w:bidi="ar-SA"/>
        </w:rPr>
        <w:t>局要统一组织</w:t>
      </w:r>
      <w:r>
        <w:rPr>
          <w:rFonts w:hint="eastAsia" w:ascii="仿宋_GB2312" w:hAnsi="仿宋_GB2312" w:eastAsia="仿宋_GB2312" w:cs="仿宋_GB2312"/>
          <w:i w:val="0"/>
          <w:caps w:val="0"/>
          <w:color w:val="auto"/>
          <w:spacing w:val="0"/>
          <w:sz w:val="32"/>
          <w:szCs w:val="32"/>
          <w:shd w:val="clear" w:fill="FFFFFF"/>
          <w:lang w:eastAsia="zh-CN"/>
        </w:rPr>
        <w:t>本</w:t>
      </w:r>
      <w:r>
        <w:rPr>
          <w:rFonts w:hint="eastAsia" w:ascii="仿宋_GB2312" w:hAnsi="仿宋_GB2312" w:eastAsia="仿宋_GB2312" w:cs="仿宋_GB2312"/>
          <w:i w:val="0"/>
          <w:caps w:val="0"/>
          <w:color w:val="auto"/>
          <w:spacing w:val="0"/>
          <w:sz w:val="32"/>
          <w:szCs w:val="32"/>
          <w:shd w:val="clear" w:fill="FFFFFF"/>
          <w:lang w:val="en-US" w:eastAsia="zh-CN"/>
        </w:rPr>
        <w:t>参赛代表队报名工作，</w:t>
      </w:r>
      <w:r>
        <w:rPr>
          <w:rFonts w:hint="eastAsia" w:ascii="仿宋_GB2312" w:hAnsi="仿宋_GB2312" w:eastAsia="仿宋_GB2312" w:cs="仿宋_GB2312"/>
          <w:i w:val="0"/>
          <w:caps w:val="0"/>
          <w:color w:val="auto"/>
          <w:spacing w:val="0"/>
          <w:sz w:val="32"/>
          <w:szCs w:val="32"/>
          <w:shd w:val="clear" w:fill="FFFFFF"/>
        </w:rPr>
        <w:t>明确1名竞赛工作负责同志作为联络员</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负责审核选手参赛资格。学生身份选手须审核学籍信息，职工（教师）身份</w:t>
      </w:r>
      <w:r>
        <w:rPr>
          <w:rFonts w:hint="eastAsia" w:ascii="仿宋_GB2312" w:hAnsi="仿宋_GB2312" w:eastAsia="仿宋_GB2312" w:cs="仿宋_GB2312"/>
          <w:i w:val="0"/>
          <w:caps w:val="0"/>
          <w:color w:val="auto"/>
          <w:spacing w:val="0"/>
          <w:sz w:val="32"/>
          <w:szCs w:val="32"/>
          <w:shd w:val="clear"/>
          <w:lang w:val="en-US" w:eastAsia="zh-CN"/>
        </w:rPr>
        <w:t>选手须审核社保信息。具体参赛报名工作，按有关通知执行</w:t>
      </w:r>
      <w:r>
        <w:rPr>
          <w:rFonts w:hint="eastAsia" w:ascii="仿宋_GB2312" w:hAnsi="仿宋_GB2312" w:eastAsia="仿宋_GB2312" w:cs="仿宋_GB2312"/>
          <w:color w:val="auto"/>
          <w:spacing w:val="0"/>
          <w:kern w:val="2"/>
          <w:sz w:val="32"/>
          <w:szCs w:val="32"/>
          <w:lang w:val="en-US" w:eastAsia="zh-CN" w:bidi="ar-SA"/>
        </w:rPr>
        <w:t>。</w:t>
      </w:r>
    </w:p>
    <w:p w14:paraId="40FDDF84">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（三）</w:t>
      </w:r>
      <w:r>
        <w:rPr>
          <w:rFonts w:hint="eastAsia" w:ascii="仿宋_GB2312" w:hAnsi="仿宋_GB2312" w:eastAsia="仿宋_GB2312" w:cs="仿宋_GB2312"/>
          <w:color w:val="auto"/>
          <w:spacing w:val="3"/>
          <w:kern w:val="2"/>
          <w:sz w:val="32"/>
          <w:szCs w:val="32"/>
          <w:lang w:val="en-US" w:eastAsia="zh-CN" w:bidi="ar-SA"/>
        </w:rPr>
        <w:t>比赛不收取任何费用。参赛选手及相关人员参赛往返交通费、食宿费和人身意外伤害保险，由各参赛代表队自行承担。</w:t>
      </w:r>
    </w:p>
    <w:p w14:paraId="3D91082D">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（四）鼓励各市结合职业技能培训和技能人才工作实际，对参加大赛获奖人员和单位给予有关奖励。</w:t>
      </w:r>
    </w:p>
    <w:p w14:paraId="71DEFEE5">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（五）企业或社会组织自愿赞助第二届省赛的，应严格执行相关财务规定和制度。</w:t>
      </w:r>
    </w:p>
    <w:p w14:paraId="648B46B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（六）各市要合理安排相关工作，确保安全、有序完成大赛任务。</w:t>
      </w:r>
    </w:p>
    <w:p w14:paraId="05F1ABFE">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bookmarkStart w:id="6" w:name="OLE_LINK5"/>
      <w:r>
        <w:rPr>
          <w:rFonts w:hint="eastAsia" w:ascii="仿宋_GB2312" w:hAnsi="仿宋_GB2312" w:eastAsia="仿宋_GB2312" w:cs="仿宋_GB2312"/>
          <w:color w:val="auto"/>
          <w:kern w:val="2"/>
          <w:sz w:val="32"/>
          <w:szCs w:val="32"/>
          <w:lang w:val="en-US" w:eastAsia="zh-CN" w:bidi="ar-SA"/>
        </w:rPr>
        <w:t>联 系 人：王伟超</w:t>
      </w:r>
      <w:r>
        <w:rPr>
          <w:rFonts w:hint="eastAsia" w:ascii="仿宋_GB2312" w:hAnsi="仿宋_GB2312" w:eastAsia="仿宋_GB2312" w:cs="仿宋_GB2312"/>
          <w:color w:val="auto"/>
          <w:kern w:val="2"/>
          <w:sz w:val="32"/>
          <w:szCs w:val="32"/>
          <w:lang w:val="en-US" w:eastAsia="zh" w:bidi="ar-SA"/>
        </w:rPr>
        <w:t>，</w:t>
      </w:r>
      <w:r>
        <w:rPr>
          <w:rFonts w:hint="eastAsia" w:ascii="仿宋_GB2312" w:hAnsi="仿宋_GB2312" w:eastAsia="仿宋_GB2312" w:cs="仿宋_GB2312"/>
          <w:color w:val="auto"/>
          <w:kern w:val="2"/>
          <w:sz w:val="32"/>
          <w:szCs w:val="32"/>
          <w:lang w:val="en-US" w:eastAsia="zh-CN" w:bidi="ar-SA"/>
        </w:rPr>
        <w:t>王  伟</w:t>
      </w:r>
      <w:r>
        <w:rPr>
          <w:rFonts w:hint="eastAsia" w:ascii="仿宋_GB2312" w:hAnsi="仿宋_GB2312" w:eastAsia="仿宋_GB2312" w:cs="仿宋_GB2312"/>
          <w:color w:val="auto"/>
          <w:kern w:val="2"/>
          <w:sz w:val="32"/>
          <w:szCs w:val="32"/>
          <w:lang w:val="en-US" w:eastAsia="zh" w:bidi="ar-SA"/>
        </w:rPr>
        <w:t>，</w:t>
      </w:r>
      <w:r>
        <w:rPr>
          <w:rFonts w:hint="eastAsia" w:ascii="仿宋_GB2312" w:hAnsi="仿宋_GB2312" w:eastAsia="仿宋_GB2312" w:cs="仿宋_GB2312"/>
          <w:color w:val="auto"/>
          <w:kern w:val="2"/>
          <w:sz w:val="32"/>
          <w:szCs w:val="32"/>
          <w:lang w:val="en-US" w:eastAsia="zh-CN" w:bidi="ar-SA"/>
        </w:rPr>
        <w:t>张延体</w:t>
      </w:r>
    </w:p>
    <w:p w14:paraId="0747A6FF">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联系电话：0531—51788151</w:t>
      </w:r>
      <w:r>
        <w:rPr>
          <w:rFonts w:hint="eastAsia" w:ascii="仿宋_GB2312" w:hAnsi="仿宋_GB2312" w:eastAsia="仿宋_GB2312" w:cs="仿宋_GB2312"/>
          <w:color w:val="auto"/>
          <w:kern w:val="2"/>
          <w:sz w:val="32"/>
          <w:szCs w:val="32"/>
          <w:lang w:val="en-US" w:eastAsia="zh" w:bidi="ar-SA"/>
        </w:rPr>
        <w:t>，</w:t>
      </w:r>
      <w:r>
        <w:rPr>
          <w:rFonts w:hint="eastAsia" w:ascii="仿宋_GB2312" w:hAnsi="仿宋_GB2312" w:eastAsia="仿宋_GB2312" w:cs="仿宋_GB2312"/>
          <w:color w:val="auto"/>
          <w:kern w:val="2"/>
          <w:sz w:val="32"/>
          <w:szCs w:val="32"/>
          <w:lang w:val="en-US" w:eastAsia="zh-CN" w:bidi="ar-SA"/>
        </w:rPr>
        <w:t>51788136</w:t>
      </w:r>
    </w:p>
    <w:bookmarkEnd w:id="6"/>
    <w:p w14:paraId="243DEF4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p>
    <w:p w14:paraId="4647ECCD">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附件：1.第二届山东省职业技能大赛竞赛项目名单</w:t>
      </w:r>
    </w:p>
    <w:p w14:paraId="69897D7D">
      <w:pPr>
        <w:pStyle w:val="5"/>
        <w:keepNext w:val="0"/>
        <w:keepLines w:val="0"/>
        <w:pageBreakBefore w:val="0"/>
        <w:widowControl w:val="0"/>
        <w:kinsoku/>
        <w:wordWrap/>
        <w:overflowPunct/>
        <w:topLinePunct w:val="0"/>
        <w:autoSpaceDE/>
        <w:autoSpaceDN/>
        <w:bidi w:val="0"/>
        <w:adjustRightInd/>
        <w:snapToGrid/>
        <w:spacing w:line="560" w:lineRule="exact"/>
        <w:ind w:left="1896" w:leftChars="500" w:right="0" w:rightChars="0" w:hanging="316" w:hangingChars="100"/>
        <w:jc w:val="both"/>
        <w:textAlignment w:val="auto"/>
        <w:outlineLvl w:val="9"/>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pacing w:val="-6"/>
          <w:kern w:val="2"/>
          <w:sz w:val="32"/>
          <w:szCs w:val="32"/>
          <w:lang w:val="en-US" w:eastAsia="zh-CN" w:bidi="ar-SA"/>
        </w:rPr>
        <w:t>第二届山东省职业技能大赛市级</w:t>
      </w:r>
      <w:r>
        <w:rPr>
          <w:rFonts w:hint="eastAsia" w:ascii="仿宋_GB2312" w:hAnsi="仿宋_GB2312" w:eastAsia="仿宋_GB2312" w:cs="仿宋_GB2312"/>
          <w:color w:val="auto"/>
          <w:spacing w:val="-6"/>
          <w:kern w:val="2"/>
          <w:sz w:val="32"/>
          <w:szCs w:val="32"/>
          <w:lang w:val="en-US" w:eastAsia="zh" w:bidi="ar-SA"/>
        </w:rPr>
        <w:t>牵头</w:t>
      </w:r>
      <w:r>
        <w:rPr>
          <w:rFonts w:hint="eastAsia" w:ascii="仿宋_GB2312" w:hAnsi="仿宋_GB2312" w:eastAsia="仿宋_GB2312" w:cs="仿宋_GB2312"/>
          <w:color w:val="auto"/>
          <w:spacing w:val="-6"/>
          <w:kern w:val="2"/>
          <w:sz w:val="32"/>
          <w:szCs w:val="32"/>
          <w:lang w:val="en-US" w:eastAsia="zh-CN" w:bidi="ar-SA"/>
        </w:rPr>
        <w:t>工作机构联系方式</w:t>
      </w:r>
    </w:p>
    <w:p w14:paraId="41B527ED">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p>
    <w:p w14:paraId="1E8E72BE">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14:paraId="64DB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center"/>
          </w:tcPr>
          <w:p w14:paraId="41A44DD1">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3020" w:type="dxa"/>
            <w:tcBorders>
              <w:tl2br w:val="nil"/>
              <w:tr2bl w:val="nil"/>
            </w:tcBorders>
            <w:vAlign w:val="center"/>
          </w:tcPr>
          <w:p w14:paraId="6D202DA5">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省教育厅</w:t>
            </w:r>
          </w:p>
        </w:tc>
        <w:tc>
          <w:tcPr>
            <w:tcW w:w="3020" w:type="dxa"/>
            <w:tcBorders>
              <w:tl2br w:val="nil"/>
              <w:tr2bl w:val="nil"/>
            </w:tcBorders>
            <w:vAlign w:val="center"/>
          </w:tcPr>
          <w:p w14:paraId="2228CCD0">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省工业和</w:t>
            </w:r>
          </w:p>
          <w:p w14:paraId="44E4A983">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信息化厅</w:t>
            </w:r>
          </w:p>
        </w:tc>
      </w:tr>
    </w:tbl>
    <w:p w14:paraId="4B765B28">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p>
    <w:p w14:paraId="11C9208B">
      <w:pPr>
        <w:pStyle w:val="5"/>
        <w:keepNext w:val="0"/>
        <w:keepLines w:val="0"/>
        <w:pageBreakBefore w:val="0"/>
        <w:kinsoku/>
        <w:wordWrap/>
        <w:overflowPunct/>
        <w:topLinePunct w:val="0"/>
        <w:autoSpaceDE/>
        <w:autoSpaceDN/>
        <w:bidi w:val="0"/>
        <w:adjustRightInd/>
        <w:snapToGrid/>
        <w:spacing w:beforeAutospacing="0" w:afterAutospacing="0" w:line="560" w:lineRule="exact"/>
        <w:ind w:left="4160" w:hanging="4108" w:hangingChars="1300"/>
        <w:jc w:val="both"/>
        <w:textAlignment w:val="auto"/>
        <w:rPr>
          <w:rFonts w:hint="eastAsia" w:ascii="仿宋_GB2312" w:hAnsi="仿宋_GB2312" w:eastAsia="仿宋_GB2312" w:cs="仿宋_GB2312"/>
          <w:color w:val="auto"/>
          <w:sz w:val="32"/>
          <w:szCs w:val="32"/>
          <w:lang w:val="en-US" w:eastAsia="zh-CN"/>
        </w:rPr>
      </w:pPr>
    </w:p>
    <w:p w14:paraId="4C6C848C">
      <w:pPr>
        <w:pStyle w:val="5"/>
        <w:keepNext w:val="0"/>
        <w:keepLines w:val="0"/>
        <w:pageBreakBefore w:val="0"/>
        <w:kinsoku/>
        <w:wordWrap/>
        <w:overflowPunct/>
        <w:topLinePunct w:val="0"/>
        <w:autoSpaceDE/>
        <w:autoSpaceDN/>
        <w:bidi w:val="0"/>
        <w:adjustRightInd/>
        <w:snapToGrid/>
        <w:spacing w:beforeAutospacing="0" w:afterAutospacing="0" w:line="560" w:lineRule="exact"/>
        <w:ind w:left="4160" w:hanging="4108" w:hangingChars="1300"/>
        <w:jc w:val="both"/>
        <w:textAlignment w:val="auto"/>
        <w:rPr>
          <w:rFonts w:hint="eastAsia"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46FA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01018C1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省财政厅</w:t>
            </w:r>
          </w:p>
        </w:tc>
        <w:tc>
          <w:tcPr>
            <w:tcW w:w="4530" w:type="dxa"/>
            <w:tcBorders>
              <w:tl2br w:val="nil"/>
              <w:tr2bl w:val="nil"/>
            </w:tcBorders>
            <w:vAlign w:val="center"/>
          </w:tcPr>
          <w:p w14:paraId="6E49DA42">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山东省人民政府国有资产</w:t>
            </w:r>
          </w:p>
          <w:p w14:paraId="3ECE8A04">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监督管理委员会</w:t>
            </w:r>
          </w:p>
        </w:tc>
      </w:tr>
    </w:tbl>
    <w:p w14:paraId="21BE71FA">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1D150730">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440C67E1">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07B6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37E6AC17">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山东省总工会</w:t>
            </w:r>
          </w:p>
        </w:tc>
        <w:tc>
          <w:tcPr>
            <w:tcW w:w="4530" w:type="dxa"/>
            <w:tcBorders>
              <w:tl2br w:val="nil"/>
              <w:tr2bl w:val="nil"/>
            </w:tcBorders>
            <w:vAlign w:val="center"/>
          </w:tcPr>
          <w:p w14:paraId="3ACCDCC2">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共青团山东省委员会</w:t>
            </w:r>
          </w:p>
        </w:tc>
      </w:tr>
    </w:tbl>
    <w:p w14:paraId="53261F58">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1F1A7B93">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6AA1A9A3">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515A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5E9D367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山东省妇女联合会</w:t>
            </w:r>
          </w:p>
        </w:tc>
        <w:tc>
          <w:tcPr>
            <w:tcW w:w="4530" w:type="dxa"/>
            <w:tcBorders>
              <w:tl2br w:val="nil"/>
              <w:tr2bl w:val="nil"/>
            </w:tcBorders>
            <w:vAlign w:val="center"/>
          </w:tcPr>
          <w:p w14:paraId="3240BD6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山东省工商业联合会</w:t>
            </w:r>
          </w:p>
        </w:tc>
      </w:tr>
    </w:tbl>
    <w:p w14:paraId="44A1E70C">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auto"/>
          <w:sz w:val="32"/>
          <w:szCs w:val="32"/>
          <w:lang w:val="en-US" w:eastAsia="zh-CN"/>
        </w:rPr>
      </w:pPr>
    </w:p>
    <w:p w14:paraId="0E16A29C">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auto"/>
          <w:sz w:val="32"/>
          <w:szCs w:val="32"/>
          <w:lang w:val="en-US" w:eastAsia="zh-CN"/>
        </w:rPr>
      </w:pPr>
    </w:p>
    <w:p w14:paraId="6DD088F6">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582D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4865F362">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山东省中华职业教育社</w:t>
            </w:r>
          </w:p>
        </w:tc>
        <w:tc>
          <w:tcPr>
            <w:tcW w:w="4530" w:type="dxa"/>
            <w:tcBorders>
              <w:tl2br w:val="nil"/>
              <w:tr2bl w:val="nil"/>
            </w:tcBorders>
            <w:vAlign w:val="center"/>
          </w:tcPr>
          <w:p w14:paraId="18FE6234">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济南市人民政府</w:t>
            </w:r>
          </w:p>
        </w:tc>
      </w:tr>
      <w:tr w14:paraId="14AC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42CFAEB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lang w:val="en-US" w:eastAsia="zh-CN"/>
              </w:rPr>
            </w:pPr>
          </w:p>
        </w:tc>
        <w:tc>
          <w:tcPr>
            <w:tcW w:w="4530" w:type="dxa"/>
            <w:tcBorders>
              <w:tl2br w:val="nil"/>
              <w:tr2bl w:val="nil"/>
            </w:tcBorders>
            <w:vAlign w:val="center"/>
          </w:tcPr>
          <w:p w14:paraId="32704C37">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2025年4月1日</w:t>
            </w:r>
          </w:p>
        </w:tc>
      </w:tr>
    </w:tbl>
    <w:p w14:paraId="05455056">
      <w:pPr>
        <w:pStyle w:val="5"/>
        <w:keepNext w:val="0"/>
        <w:keepLines w:val="0"/>
        <w:pageBreakBefore w:val="0"/>
        <w:widowControl w:val="0"/>
        <w:tabs>
          <w:tab w:val="left" w:pos="7949"/>
          <w:tab w:val="clear" w:pos="4153"/>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p>
    <w:p w14:paraId="7AFC057C">
      <w:pPr>
        <w:pStyle w:val="5"/>
        <w:keepNext w:val="0"/>
        <w:keepLines w:val="0"/>
        <w:pageBreakBefore w:val="0"/>
        <w:widowControl w:val="0"/>
        <w:tabs>
          <w:tab w:val="left" w:pos="7949"/>
          <w:tab w:val="clear" w:pos="4153"/>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（此件主动公开）</w:t>
      </w:r>
      <w:r>
        <w:rPr>
          <w:rFonts w:hint="eastAsia" w:ascii="仿宋_GB2312" w:hAnsi="仿宋_GB2312" w:eastAsia="仿宋_GB2312" w:cs="仿宋_GB2312"/>
          <w:color w:val="auto"/>
          <w:kern w:val="2"/>
          <w:sz w:val="32"/>
          <w:szCs w:val="32"/>
          <w:lang w:val="en-US" w:eastAsia="zh-CN" w:bidi="ar-SA"/>
        </w:rPr>
        <w:tab/>
      </w:r>
    </w:p>
    <w:p w14:paraId="42C8DE70">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（联系单位：</w:t>
      </w:r>
      <w:r>
        <w:rPr>
          <w:rFonts w:hint="default" w:ascii="仿宋_GB2312" w:hAnsi="仿宋_GB2312" w:eastAsia="仿宋_GB2312" w:cs="仿宋_GB2312"/>
          <w:color w:val="auto"/>
          <w:spacing w:val="0"/>
          <w:kern w:val="2"/>
          <w:sz w:val="32"/>
          <w:szCs w:val="32"/>
          <w:lang w:eastAsia="zh-CN" w:bidi="ar-SA"/>
        </w:rPr>
        <w:t>省人力资源社会保障厅</w:t>
      </w:r>
      <w:r>
        <w:rPr>
          <w:rFonts w:hint="eastAsia" w:ascii="仿宋_GB2312" w:hAnsi="仿宋_GB2312" w:eastAsia="仿宋_GB2312" w:cs="仿宋_GB2312"/>
          <w:color w:val="auto"/>
          <w:spacing w:val="0"/>
          <w:kern w:val="2"/>
          <w:sz w:val="32"/>
          <w:szCs w:val="32"/>
          <w:lang w:val="en-US" w:eastAsia="zh-CN" w:bidi="ar-SA"/>
        </w:rPr>
        <w:t>职业能力建设处）</w:t>
      </w:r>
    </w:p>
    <w:p w14:paraId="0377EDF8">
      <w:pPr>
        <w:keepNext w:val="0"/>
        <w:keepLines w:val="0"/>
        <w:pageBreakBefore w:val="0"/>
        <w:widowControl w:val="0"/>
        <w:kinsoku/>
        <w:wordWrap/>
        <w:overflowPunct/>
        <w:topLinePunct w:val="0"/>
        <w:autoSpaceDE/>
        <w:autoSpaceDN/>
        <w:bidi w:val="0"/>
        <w:adjustRightInd/>
        <w:snapToGrid/>
        <w:spacing w:line="560" w:lineRule="exact"/>
        <w:textAlignment w:val="auto"/>
        <w:rPr>
          <w:rStyle w:val="12"/>
          <w:rFonts w:hint="eastAsia"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br w:type="page"/>
      </w:r>
    </w:p>
    <w:p w14:paraId="4127F8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eastAsia"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t>附件1</w:t>
      </w:r>
    </w:p>
    <w:p w14:paraId="36667F1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eastAsia" w:ascii="黑体" w:hAnsi="黑体" w:eastAsia="黑体" w:cs="黑体"/>
          <w:b w:val="0"/>
          <w:bCs/>
          <w:color w:val="auto"/>
          <w:sz w:val="32"/>
          <w:szCs w:val="32"/>
          <w:lang w:val="en-US" w:eastAsia="zh-CN"/>
        </w:rPr>
      </w:pPr>
    </w:p>
    <w:p w14:paraId="4AE401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12"/>
          <w:rFonts w:hint="eastAsia" w:ascii="方正小标宋简体" w:hAnsi="方正小标宋简体" w:eastAsia="方正小标宋简体" w:cs="方正小标宋简体"/>
          <w:b w:val="0"/>
          <w:bCs/>
          <w:color w:val="auto"/>
          <w:sz w:val="44"/>
          <w:szCs w:val="44"/>
          <w:lang w:val="en-US" w:eastAsia="zh-CN"/>
        </w:rPr>
      </w:pPr>
      <w:r>
        <w:rPr>
          <w:rStyle w:val="12"/>
          <w:rFonts w:hint="eastAsia" w:ascii="方正小标宋简体" w:hAnsi="方正小标宋简体" w:eastAsia="方正小标宋简体" w:cs="方正小标宋简体"/>
          <w:b w:val="0"/>
          <w:bCs/>
          <w:color w:val="auto"/>
          <w:sz w:val="44"/>
          <w:szCs w:val="44"/>
          <w:lang w:val="en-US" w:eastAsia="zh-CN"/>
        </w:rPr>
        <w:t>第二届山东省职业技能大赛</w:t>
      </w:r>
      <w:r>
        <w:rPr>
          <w:rStyle w:val="12"/>
          <w:rFonts w:hint="eastAsia" w:ascii="方正小标宋简体" w:hAnsi="方正小标宋简体" w:eastAsia="方正小标宋简体" w:cs="方正小标宋简体"/>
          <w:b w:val="0"/>
          <w:bCs/>
          <w:color w:val="auto"/>
          <w:sz w:val="44"/>
          <w:szCs w:val="44"/>
        </w:rPr>
        <w:t>竞赛项目</w:t>
      </w:r>
      <w:r>
        <w:rPr>
          <w:rStyle w:val="12"/>
          <w:rFonts w:hint="eastAsia" w:ascii="方正小标宋简体" w:hAnsi="方正小标宋简体" w:eastAsia="方正小标宋简体" w:cs="方正小标宋简体"/>
          <w:b w:val="0"/>
          <w:bCs/>
          <w:color w:val="auto"/>
          <w:sz w:val="44"/>
          <w:szCs w:val="44"/>
          <w:lang w:val="en-US" w:eastAsia="zh-CN"/>
        </w:rPr>
        <w:t>名单</w:t>
      </w:r>
    </w:p>
    <w:p w14:paraId="57324F2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楷体_GB2312" w:hAnsi="楷体_GB2312" w:eastAsia="楷体_GB2312" w:cs="楷体_GB2312"/>
          <w:b w:val="0"/>
          <w:bCs/>
          <w:color w:val="auto"/>
          <w:sz w:val="32"/>
          <w:szCs w:val="32"/>
        </w:rPr>
      </w:pPr>
      <w:r>
        <w:rPr>
          <w:rStyle w:val="12"/>
          <w:rFonts w:hint="eastAsia" w:ascii="楷体_GB2312" w:hAnsi="楷体_GB2312" w:eastAsia="楷体_GB2312" w:cs="楷体_GB2312"/>
          <w:b w:val="0"/>
          <w:bCs/>
          <w:color w:val="auto"/>
          <w:sz w:val="32"/>
          <w:szCs w:val="32"/>
        </w:rPr>
        <w:t>（共</w:t>
      </w:r>
      <w:r>
        <w:rPr>
          <w:rStyle w:val="12"/>
          <w:rFonts w:hint="eastAsia" w:ascii="楷体_GB2312" w:hAnsi="楷体_GB2312" w:eastAsia="楷体_GB2312" w:cs="楷体_GB2312"/>
          <w:b w:val="0"/>
          <w:bCs/>
          <w:color w:val="auto"/>
          <w:sz w:val="32"/>
          <w:szCs w:val="32"/>
          <w:lang w:val="en-US" w:eastAsia="zh-CN"/>
        </w:rPr>
        <w:t>106</w:t>
      </w:r>
      <w:r>
        <w:rPr>
          <w:rStyle w:val="12"/>
          <w:rFonts w:hint="eastAsia" w:ascii="楷体_GB2312" w:hAnsi="楷体_GB2312" w:eastAsia="楷体_GB2312" w:cs="楷体_GB2312"/>
          <w:b w:val="0"/>
          <w:bCs/>
          <w:color w:val="auto"/>
          <w:sz w:val="32"/>
          <w:szCs w:val="32"/>
        </w:rPr>
        <w:t>项）</w:t>
      </w:r>
    </w:p>
    <w:p w14:paraId="39C4A9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textAlignment w:val="auto"/>
        <w:rPr>
          <w:rFonts w:hint="eastAsia" w:ascii="仿宋_GB2312" w:hAnsi="仿宋_GB2312" w:eastAsia="仿宋_GB2312" w:cs="仿宋_GB2312"/>
          <w:color w:val="auto"/>
          <w:sz w:val="32"/>
          <w:szCs w:val="32"/>
        </w:rPr>
      </w:pPr>
    </w:p>
    <w:p w14:paraId="1EB38AC0">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一、世赛选拔项目(共66项)</w:t>
      </w:r>
    </w:p>
    <w:p w14:paraId="776C19E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（一）物流与运输(8项)</w:t>
      </w:r>
    </w:p>
    <w:p w14:paraId="18011F7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飞机维修、车身修理、汽车技术、汽车喷漆、重型车辆维修、物流与货运代理、轨道车辆技术、无人机系统</w:t>
      </w:r>
    </w:p>
    <w:p w14:paraId="37FE314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（二）结构与建筑技术(14项)</w:t>
      </w:r>
    </w:p>
    <w:p w14:paraId="0395B35F">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砌筑、家具制作、木工、混凝土建筑、电气装置、精细木工、园艺、油漆与装饰、抹灰与隔墙系统、管道与制暖、制冷与空调、瓷砖贴面、数字建造、智慧安防技术</w:t>
      </w:r>
    </w:p>
    <w:p w14:paraId="3C10F96F">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（三）制造与工程技术(19项)</w:t>
      </w:r>
    </w:p>
    <w:p w14:paraId="4B44E2DB">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数控铣、数控车、建筑金属构造、电子技术、工业控制、工业机械、制造团队挑战赛、CAD机械设计、机电一体化、自主移动机器人、焊接、水处理技术、化学实验室技术、增材制造、工业设计技术、工业4.0、光电技术、可再生能源、机器人系统集成</w:t>
      </w:r>
    </w:p>
    <w:p w14:paraId="096D295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（四）信息与通信技术(8项)</w:t>
      </w:r>
    </w:p>
    <w:p w14:paraId="0BA2B2E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信息网络布线、网络系统管理、商务软件解决方案、网站技术、云计算、网络安全、移动应用开发、软件测试</w:t>
      </w:r>
    </w:p>
    <w:p w14:paraId="77399AB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（五）创意艺术与时尚(7项)</w:t>
      </w:r>
    </w:p>
    <w:p w14:paraId="2E06A17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时装技术、花艺、平面设计技术、珠宝加工、商品展示技术、3D数字游戏艺术、数字交互媒体设计</w:t>
      </w:r>
    </w:p>
    <w:p w14:paraId="4A4C969B">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（六）社会与个人服务(10项)</w:t>
      </w:r>
    </w:p>
    <w:p w14:paraId="1F9F09B1">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烘焙、美容、糖艺/西点制作、烹饪(西餐)、美发、健康和社会照护、餐厅服务、酒店接待、口腔修复工艺技术、零售</w:t>
      </w:r>
    </w:p>
    <w:p w14:paraId="1FE2F441">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二、国赛精选项目(共40项)</w:t>
      </w:r>
    </w:p>
    <w:p w14:paraId="4F31819A">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（一）传统赛项(16项)</w:t>
      </w:r>
    </w:p>
    <w:p w14:paraId="5D802BD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信息通信网络运行管理、软件测试、劳动关系协调师、 污水处理、社会体育指导(健身)、服装制版、化工总控、药物制剂、装配钳工、仪器仪表制造、盾构技术、设备点检、</w:t>
      </w:r>
      <w:bookmarkStart w:id="7" w:name="_GoBack"/>
      <w:bookmarkEnd w:id="7"/>
      <w:r>
        <w:rPr>
          <w:rFonts w:hint="eastAsia" w:ascii="仿宋_GB2312" w:hAnsi="仿宋_GB2312" w:eastAsia="仿宋_GB2312" w:cs="仿宋_GB2312"/>
          <w:color w:val="auto"/>
          <w:kern w:val="2"/>
          <w:sz w:val="32"/>
          <w:szCs w:val="32"/>
          <w:lang w:val="en-US" w:eastAsia="zh-CN" w:bidi="ar-SA"/>
        </w:rPr>
        <w:t>电工、鸿蒙应用开发、智能汽车软件开发、光电信息技术</w:t>
      </w:r>
    </w:p>
    <w:p w14:paraId="5102B83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（二）新职业赛项(17项)</w:t>
      </w:r>
    </w:p>
    <w:p w14:paraId="1857889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互联网营销、无人机驾驶(植保)、漆艺制作、区块链技术、服务机器人应用技术、数字孪生应用技术、智能网联汽车装调运维、全媒体运营、智能硬件装调、物联网安装调试、工业机器人系统运维、工业视觉系统运维、工业机器人系统操作、人工智能工程技术、智能制造工程技术、工业互联网工程技术、集成电路工程技术</w:t>
      </w:r>
    </w:p>
    <w:p w14:paraId="42D41B5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（三）乡村振兴赛项(7项)</w:t>
      </w:r>
    </w:p>
    <w:p w14:paraId="3E07801A">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中式烹调(羊肉烘烤)、农产品食品检验、农机智能化技术、育婴、养老护理、餐厅服务、中式面点</w:t>
      </w:r>
    </w:p>
    <w:p w14:paraId="4496DC8A">
      <w:pPr>
        <w:rPr>
          <w:rStyle w:val="12"/>
          <w:rFonts w:hint="eastAsia"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br w:type="page"/>
      </w:r>
    </w:p>
    <w:p w14:paraId="2D2D5F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default"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t>附件2</w:t>
      </w:r>
    </w:p>
    <w:p w14:paraId="12EA3C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eastAsia" w:ascii="黑体" w:hAnsi="黑体" w:eastAsia="黑体" w:cs="黑体"/>
          <w:b w:val="0"/>
          <w:bCs/>
          <w:color w:val="auto"/>
          <w:sz w:val="32"/>
          <w:szCs w:val="32"/>
          <w:lang w:val="en-US" w:eastAsia="zh-CN"/>
        </w:rPr>
      </w:pPr>
    </w:p>
    <w:p w14:paraId="71FF30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12"/>
          <w:rFonts w:hint="eastAsia" w:ascii="方正小标宋简体" w:hAnsi="方正小标宋简体" w:eastAsia="方正小标宋简体" w:cs="方正小标宋简体"/>
          <w:b w:val="0"/>
          <w:bCs/>
          <w:color w:val="auto"/>
          <w:sz w:val="36"/>
          <w:szCs w:val="36"/>
          <w:lang w:val="en-US" w:eastAsia="zh-CN"/>
        </w:rPr>
      </w:pPr>
      <w:r>
        <w:rPr>
          <w:rStyle w:val="12"/>
          <w:rFonts w:hint="eastAsia" w:ascii="方正小标宋简体" w:hAnsi="方正小标宋简体" w:eastAsia="方正小标宋简体" w:cs="方正小标宋简体"/>
          <w:b w:val="0"/>
          <w:bCs/>
          <w:color w:val="auto"/>
          <w:sz w:val="36"/>
          <w:szCs w:val="36"/>
          <w:lang w:val="en-US" w:eastAsia="zh-CN"/>
        </w:rPr>
        <w:t>第二届山东省职业技能大赛市级牵头工作机构联系方式</w:t>
      </w:r>
    </w:p>
    <w:p w14:paraId="576FFE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12"/>
          <w:rFonts w:hint="eastAsia" w:ascii="方正小标宋简体" w:hAnsi="方正小标宋简体" w:eastAsia="方正小标宋简体" w:cs="方正小标宋简体"/>
          <w:b w:val="0"/>
          <w:bCs/>
          <w:color w:val="auto"/>
          <w:sz w:val="36"/>
          <w:szCs w:val="36"/>
          <w:lang w:val="en-US" w:eastAsia="zh-CN"/>
        </w:r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4966"/>
        <w:gridCol w:w="3020"/>
      </w:tblGrid>
      <w:tr w14:paraId="3FC2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1" w:type="pct"/>
            <w:noWrap w:val="0"/>
            <w:vAlign w:val="center"/>
          </w:tcPr>
          <w:p w14:paraId="5E52754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黑体" w:hAnsi="黑体" w:eastAsia="黑体" w:cs="黑体"/>
                <w:b w:val="0"/>
                <w:bCs/>
                <w:color w:val="auto"/>
                <w:sz w:val="21"/>
                <w:szCs w:val="21"/>
                <w:vertAlign w:val="baseline"/>
                <w:lang w:val="en-US" w:eastAsia="zh-CN"/>
              </w:rPr>
            </w:pPr>
            <w:r>
              <w:rPr>
                <w:rStyle w:val="12"/>
                <w:rFonts w:hint="eastAsia" w:ascii="黑体" w:hAnsi="黑体" w:eastAsia="黑体" w:cs="黑体"/>
                <w:b w:val="0"/>
                <w:bCs/>
                <w:color w:val="auto"/>
                <w:sz w:val="21"/>
                <w:szCs w:val="21"/>
                <w:vertAlign w:val="baseline"/>
                <w:lang w:val="en-US" w:eastAsia="zh-CN"/>
              </w:rPr>
              <w:t>序号</w:t>
            </w:r>
          </w:p>
        </w:tc>
        <w:tc>
          <w:tcPr>
            <w:tcW w:w="2741" w:type="pct"/>
            <w:noWrap w:val="0"/>
            <w:vAlign w:val="center"/>
          </w:tcPr>
          <w:p w14:paraId="765D053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黑体" w:hAnsi="黑体" w:eastAsia="黑体" w:cs="黑体"/>
                <w:b w:val="0"/>
                <w:bCs/>
                <w:color w:val="auto"/>
                <w:sz w:val="21"/>
                <w:szCs w:val="21"/>
                <w:vertAlign w:val="baseline"/>
                <w:lang w:val="en-US" w:eastAsia="zh-CN"/>
              </w:rPr>
            </w:pPr>
            <w:r>
              <w:rPr>
                <w:rStyle w:val="12"/>
                <w:rFonts w:hint="eastAsia" w:ascii="黑体" w:hAnsi="黑体" w:eastAsia="黑体" w:cs="黑体"/>
                <w:b w:val="0"/>
                <w:bCs/>
                <w:color w:val="auto"/>
                <w:sz w:val="21"/>
                <w:szCs w:val="21"/>
                <w:vertAlign w:val="baseline"/>
                <w:lang w:val="en-US" w:eastAsia="zh-CN"/>
              </w:rPr>
              <w:t>联系单位</w:t>
            </w:r>
          </w:p>
        </w:tc>
        <w:tc>
          <w:tcPr>
            <w:tcW w:w="1667" w:type="pct"/>
            <w:noWrap w:val="0"/>
            <w:vAlign w:val="center"/>
          </w:tcPr>
          <w:p w14:paraId="43A795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黑体" w:hAnsi="黑体" w:eastAsia="黑体" w:cs="黑体"/>
                <w:b w:val="0"/>
                <w:bCs/>
                <w:color w:val="auto"/>
                <w:sz w:val="21"/>
                <w:szCs w:val="21"/>
                <w:vertAlign w:val="baseline"/>
                <w:lang w:val="en-US" w:eastAsia="zh-CN"/>
              </w:rPr>
            </w:pPr>
            <w:r>
              <w:rPr>
                <w:rStyle w:val="12"/>
                <w:rFonts w:hint="eastAsia" w:ascii="黑体" w:hAnsi="黑体" w:eastAsia="黑体" w:cs="黑体"/>
                <w:b w:val="0"/>
                <w:bCs/>
                <w:color w:val="auto"/>
                <w:sz w:val="21"/>
                <w:szCs w:val="21"/>
                <w:vertAlign w:val="baseline"/>
                <w:lang w:val="en-US" w:eastAsia="zh-CN"/>
              </w:rPr>
              <w:t>联系电话</w:t>
            </w:r>
          </w:p>
        </w:tc>
      </w:tr>
      <w:tr w14:paraId="54A7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72010E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w:t>
            </w:r>
          </w:p>
        </w:tc>
        <w:tc>
          <w:tcPr>
            <w:tcW w:w="2741" w:type="pct"/>
            <w:noWrap w:val="0"/>
            <w:vAlign w:val="center"/>
          </w:tcPr>
          <w:p w14:paraId="01DFA7D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济南市人力资源和社会保障局职业能力建设处</w:t>
            </w:r>
          </w:p>
        </w:tc>
        <w:tc>
          <w:tcPr>
            <w:tcW w:w="1667" w:type="pct"/>
            <w:noWrap w:val="0"/>
            <w:vAlign w:val="center"/>
          </w:tcPr>
          <w:p w14:paraId="62772A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0531-51705990</w:t>
            </w:r>
          </w:p>
        </w:tc>
      </w:tr>
      <w:tr w14:paraId="0560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64EAAFF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2</w:t>
            </w:r>
          </w:p>
        </w:tc>
        <w:tc>
          <w:tcPr>
            <w:tcW w:w="2741" w:type="pct"/>
            <w:noWrap w:val="0"/>
            <w:vAlign w:val="center"/>
          </w:tcPr>
          <w:p w14:paraId="1ABB956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青岛市人力资源和社会保障局职业能力建设处</w:t>
            </w:r>
          </w:p>
        </w:tc>
        <w:tc>
          <w:tcPr>
            <w:tcW w:w="1667" w:type="pct"/>
            <w:noWrap w:val="0"/>
            <w:vAlign w:val="center"/>
          </w:tcPr>
          <w:p w14:paraId="2A1A8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0532-85832657</w:t>
            </w:r>
          </w:p>
        </w:tc>
      </w:tr>
      <w:tr w14:paraId="2A63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3B809C1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3</w:t>
            </w:r>
          </w:p>
        </w:tc>
        <w:tc>
          <w:tcPr>
            <w:tcW w:w="2741" w:type="pct"/>
            <w:noWrap w:val="0"/>
            <w:vAlign w:val="center"/>
          </w:tcPr>
          <w:p w14:paraId="29AF409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淄博市人力资源和社会保障局职业能力建设科</w:t>
            </w:r>
          </w:p>
        </w:tc>
        <w:tc>
          <w:tcPr>
            <w:tcW w:w="1667" w:type="pct"/>
            <w:noWrap w:val="0"/>
            <w:vAlign w:val="center"/>
          </w:tcPr>
          <w:p w14:paraId="79F3DB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0533-2868598</w:t>
            </w:r>
          </w:p>
        </w:tc>
      </w:tr>
      <w:tr w14:paraId="543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6196C5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4</w:t>
            </w:r>
          </w:p>
        </w:tc>
        <w:tc>
          <w:tcPr>
            <w:tcW w:w="2741" w:type="pct"/>
            <w:noWrap w:val="0"/>
            <w:vAlign w:val="center"/>
          </w:tcPr>
          <w:p w14:paraId="27F3AA3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枣庄市人力资源和社会保障局职业能力建设科</w:t>
            </w:r>
          </w:p>
        </w:tc>
        <w:tc>
          <w:tcPr>
            <w:tcW w:w="1667" w:type="pct"/>
            <w:noWrap w:val="0"/>
            <w:vAlign w:val="center"/>
          </w:tcPr>
          <w:p w14:paraId="74D02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0632-3317254</w:t>
            </w:r>
          </w:p>
        </w:tc>
      </w:tr>
      <w:tr w14:paraId="280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9D2DF9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5</w:t>
            </w:r>
          </w:p>
        </w:tc>
        <w:tc>
          <w:tcPr>
            <w:tcW w:w="2741" w:type="pct"/>
            <w:noWrap w:val="0"/>
            <w:vAlign w:val="center"/>
          </w:tcPr>
          <w:p w14:paraId="3A3193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东营市人力资源和社会保障局职业能力建设科</w:t>
            </w:r>
          </w:p>
        </w:tc>
        <w:tc>
          <w:tcPr>
            <w:tcW w:w="1667" w:type="pct"/>
            <w:noWrap w:val="0"/>
            <w:vAlign w:val="center"/>
          </w:tcPr>
          <w:p w14:paraId="43E7A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0546-8381156</w:t>
            </w:r>
          </w:p>
        </w:tc>
      </w:tr>
      <w:tr w14:paraId="23D5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29B2937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6</w:t>
            </w:r>
          </w:p>
        </w:tc>
        <w:tc>
          <w:tcPr>
            <w:tcW w:w="2741" w:type="pct"/>
            <w:noWrap w:val="0"/>
            <w:vAlign w:val="center"/>
          </w:tcPr>
          <w:p w14:paraId="1364A29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烟台市人力资源和社会保障局职业能力建设科</w:t>
            </w:r>
          </w:p>
        </w:tc>
        <w:tc>
          <w:tcPr>
            <w:tcW w:w="1667" w:type="pct"/>
            <w:noWrap w:val="0"/>
            <w:vAlign w:val="center"/>
          </w:tcPr>
          <w:p w14:paraId="6B8CCC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0535-6783397</w:t>
            </w:r>
          </w:p>
        </w:tc>
      </w:tr>
      <w:tr w14:paraId="2F63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16ACF1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7</w:t>
            </w:r>
          </w:p>
        </w:tc>
        <w:tc>
          <w:tcPr>
            <w:tcW w:w="2741" w:type="pct"/>
            <w:noWrap w:val="0"/>
            <w:vAlign w:val="center"/>
          </w:tcPr>
          <w:p w14:paraId="47912F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潍坊市人力资源和社会保障局职业能力建设科</w:t>
            </w:r>
          </w:p>
        </w:tc>
        <w:tc>
          <w:tcPr>
            <w:tcW w:w="1667" w:type="pct"/>
            <w:noWrap w:val="0"/>
            <w:vAlign w:val="center"/>
          </w:tcPr>
          <w:p w14:paraId="478595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0536-8096779</w:t>
            </w:r>
          </w:p>
        </w:tc>
      </w:tr>
      <w:tr w14:paraId="301D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0889DD1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8</w:t>
            </w:r>
          </w:p>
        </w:tc>
        <w:tc>
          <w:tcPr>
            <w:tcW w:w="2741" w:type="pct"/>
            <w:noWrap w:val="0"/>
            <w:vAlign w:val="center"/>
          </w:tcPr>
          <w:p w14:paraId="1702CF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济宁市人力资源和社会保障局职业能力建设科</w:t>
            </w:r>
          </w:p>
        </w:tc>
        <w:tc>
          <w:tcPr>
            <w:tcW w:w="1667" w:type="pct"/>
            <w:noWrap w:val="0"/>
            <w:vAlign w:val="center"/>
          </w:tcPr>
          <w:p w14:paraId="1CB1DC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0537-2967398</w:t>
            </w:r>
          </w:p>
        </w:tc>
      </w:tr>
      <w:tr w14:paraId="3D14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3A64CEB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9</w:t>
            </w:r>
          </w:p>
        </w:tc>
        <w:tc>
          <w:tcPr>
            <w:tcW w:w="2741" w:type="pct"/>
            <w:noWrap w:val="0"/>
            <w:vAlign w:val="center"/>
          </w:tcPr>
          <w:p w14:paraId="4CB08BB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泰安市人力资源和社会保障局职业能力建设科</w:t>
            </w:r>
          </w:p>
        </w:tc>
        <w:tc>
          <w:tcPr>
            <w:tcW w:w="1667" w:type="pct"/>
            <w:noWrap w:val="0"/>
            <w:vAlign w:val="center"/>
          </w:tcPr>
          <w:p w14:paraId="1C93F6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0538-6991217</w:t>
            </w:r>
          </w:p>
        </w:tc>
      </w:tr>
      <w:tr w14:paraId="1A32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3DEFDC0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10</w:t>
            </w:r>
          </w:p>
        </w:tc>
        <w:tc>
          <w:tcPr>
            <w:tcW w:w="2741" w:type="pct"/>
            <w:noWrap w:val="0"/>
            <w:vAlign w:val="center"/>
          </w:tcPr>
          <w:p w14:paraId="572BAF9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威海市人力资源和社会保障局职业能力建设科</w:t>
            </w:r>
          </w:p>
        </w:tc>
        <w:tc>
          <w:tcPr>
            <w:tcW w:w="1667" w:type="pct"/>
            <w:noWrap w:val="0"/>
            <w:vAlign w:val="center"/>
          </w:tcPr>
          <w:p w14:paraId="5D04B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0631-5190816</w:t>
            </w:r>
          </w:p>
        </w:tc>
      </w:tr>
      <w:tr w14:paraId="6F1D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26E0B3D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11</w:t>
            </w:r>
          </w:p>
        </w:tc>
        <w:tc>
          <w:tcPr>
            <w:tcW w:w="2741" w:type="pct"/>
            <w:noWrap w:val="0"/>
            <w:vAlign w:val="center"/>
          </w:tcPr>
          <w:p w14:paraId="094E3F9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日照市人力资源和社会保障局职业能力建设科</w:t>
            </w:r>
          </w:p>
        </w:tc>
        <w:tc>
          <w:tcPr>
            <w:tcW w:w="1667" w:type="pct"/>
            <w:noWrap w:val="0"/>
            <w:vAlign w:val="center"/>
          </w:tcPr>
          <w:p w14:paraId="3A3EB3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0633-8866019</w:t>
            </w:r>
          </w:p>
        </w:tc>
      </w:tr>
      <w:tr w14:paraId="2723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6AB473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12</w:t>
            </w:r>
          </w:p>
        </w:tc>
        <w:tc>
          <w:tcPr>
            <w:tcW w:w="2741" w:type="pct"/>
            <w:noWrap w:val="0"/>
            <w:vAlign w:val="center"/>
          </w:tcPr>
          <w:p w14:paraId="27DB9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Style w:val="12"/>
                <w:rFonts w:hint="eastAsia" w:ascii="仿宋_GB2312" w:hAnsi="仿宋_GB2312" w:eastAsia="仿宋_GB2312" w:cs="仿宋_GB2312"/>
                <w:b w:val="0"/>
                <w:bCs/>
                <w:color w:val="auto"/>
                <w:kern w:val="0"/>
                <w:sz w:val="21"/>
                <w:szCs w:val="21"/>
                <w:vertAlign w:val="baseline"/>
                <w:lang w:val="en-US" w:eastAsia="zh-CN" w:bidi="ar"/>
              </w:rPr>
              <w:t>临沂市人力资源和社会保障局高技能人才管理科</w:t>
            </w:r>
          </w:p>
        </w:tc>
        <w:tc>
          <w:tcPr>
            <w:tcW w:w="1667" w:type="pct"/>
            <w:noWrap w:val="0"/>
            <w:vAlign w:val="center"/>
          </w:tcPr>
          <w:p w14:paraId="653630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0539-8126270</w:t>
            </w:r>
          </w:p>
        </w:tc>
      </w:tr>
      <w:tr w14:paraId="76E1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6E2A2CF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13</w:t>
            </w:r>
          </w:p>
        </w:tc>
        <w:tc>
          <w:tcPr>
            <w:tcW w:w="2741" w:type="pct"/>
            <w:noWrap w:val="0"/>
            <w:vAlign w:val="center"/>
          </w:tcPr>
          <w:p w14:paraId="5AF6DE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德州市人力资源和社会保障局职业能力建设科</w:t>
            </w:r>
          </w:p>
        </w:tc>
        <w:tc>
          <w:tcPr>
            <w:tcW w:w="1667" w:type="pct"/>
            <w:noWrap w:val="0"/>
            <w:vAlign w:val="center"/>
          </w:tcPr>
          <w:p w14:paraId="529E0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0534-7908038</w:t>
            </w:r>
          </w:p>
        </w:tc>
      </w:tr>
      <w:tr w14:paraId="7367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57C5D5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14</w:t>
            </w:r>
          </w:p>
        </w:tc>
        <w:tc>
          <w:tcPr>
            <w:tcW w:w="2741" w:type="pct"/>
            <w:noWrap w:val="0"/>
            <w:vAlign w:val="center"/>
          </w:tcPr>
          <w:p w14:paraId="4CBD85E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聊城市人力资源和社会保障局职业能力建设科</w:t>
            </w:r>
          </w:p>
        </w:tc>
        <w:tc>
          <w:tcPr>
            <w:tcW w:w="1667" w:type="pct"/>
            <w:noWrap w:val="0"/>
            <w:vAlign w:val="center"/>
          </w:tcPr>
          <w:p w14:paraId="211116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0635—2189134</w:t>
            </w:r>
          </w:p>
        </w:tc>
      </w:tr>
      <w:tr w14:paraId="100E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090B20B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15</w:t>
            </w:r>
          </w:p>
        </w:tc>
        <w:tc>
          <w:tcPr>
            <w:tcW w:w="2741" w:type="pct"/>
            <w:noWrap w:val="0"/>
            <w:vAlign w:val="center"/>
          </w:tcPr>
          <w:p w14:paraId="4CD3135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滨州市人力资源和社会保障局职业能力建设科</w:t>
            </w:r>
          </w:p>
        </w:tc>
        <w:tc>
          <w:tcPr>
            <w:tcW w:w="1667" w:type="pct"/>
            <w:noWrap w:val="0"/>
            <w:vAlign w:val="center"/>
          </w:tcPr>
          <w:p w14:paraId="50CB48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0543-8173063</w:t>
            </w:r>
          </w:p>
        </w:tc>
      </w:tr>
      <w:tr w14:paraId="3DD8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3BD34F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16</w:t>
            </w:r>
          </w:p>
        </w:tc>
        <w:tc>
          <w:tcPr>
            <w:tcW w:w="2741" w:type="pct"/>
            <w:noWrap w:val="0"/>
            <w:vAlign w:val="center"/>
          </w:tcPr>
          <w:p w14:paraId="05B969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菏泽市人力资源和社会保障局职业能力建设科</w:t>
            </w:r>
          </w:p>
        </w:tc>
        <w:tc>
          <w:tcPr>
            <w:tcW w:w="1667" w:type="pct"/>
            <w:noWrap w:val="0"/>
            <w:vAlign w:val="center"/>
          </w:tcPr>
          <w:p w14:paraId="6980B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0530-5314090</w:t>
            </w:r>
          </w:p>
        </w:tc>
      </w:tr>
    </w:tbl>
    <w:p w14:paraId="5E51BC1C">
      <w:pPr>
        <w:pStyle w:val="8"/>
        <w:keepNext w:val="0"/>
        <w:keepLines w:val="0"/>
        <w:pageBreakBefore w:val="0"/>
        <w:widowControl w:val="0"/>
        <w:kinsoku/>
        <w:wordWrap/>
        <w:overflowPunct/>
        <w:topLinePunct w:val="0"/>
        <w:autoSpaceDE/>
        <w:autoSpaceDN/>
        <w:bidi w:val="0"/>
        <w:adjustRightInd/>
        <w:snapToGrid/>
        <w:spacing w:before="296" w:beforeLines="50" w:line="400" w:lineRule="exact"/>
        <w:ind w:left="0" w:leftChars="0" w:right="0" w:rightChars="0" w:firstLine="0" w:firstLineChars="0"/>
        <w:textAlignment w:val="auto"/>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备注：人工智能工程技术、工业互联网工程技术2个赛项参赛报名工作，请联系市人力资源社会保障局专业技术人员管理科（处）。</w:t>
      </w:r>
    </w:p>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DCF485-2D21-491D-AD94-91C89F72F5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EE18364-9DA2-4BF1-A09D-9A97AC0CE5C3}"/>
  </w:font>
  <w:font w:name="方正小标宋简体">
    <w:panose1 w:val="03000509000000000000"/>
    <w:charset w:val="86"/>
    <w:family w:val="script"/>
    <w:pitch w:val="default"/>
    <w:sig w:usb0="00000001" w:usb1="080E0000" w:usb2="00000000" w:usb3="00000000" w:csb0="00040000" w:csb1="00000000"/>
    <w:embedRegular r:id="rId3" w:fontKey="{AD77D6AB-F39F-44DF-A5CE-BE56FC2D24DC}"/>
  </w:font>
  <w:font w:name="楷体_GB2312">
    <w:panose1 w:val="02010609030101010101"/>
    <w:charset w:val="86"/>
    <w:family w:val="modern"/>
    <w:pitch w:val="default"/>
    <w:sig w:usb0="00000001" w:usb1="080E0000" w:usb2="00000000" w:usb3="00000000" w:csb0="00040000" w:csb1="00000000"/>
    <w:embedRegular r:id="rId4" w:fontKey="{94AF19EF-F95C-46FE-8AD1-8AEE8AE12F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4A0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9189AF">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fill on="f" focussize="0,0"/>
              <v:stroke on="f"/>
              <v:imagedata o:title=""/>
              <o:lock v:ext="edit" aspectratio="f"/>
              <v:textbox inset="0mm,0mm,0mm,0mm" style="mso-fit-shape-to-text:t;">
                <w:txbxContent>
                  <w:p w14:paraId="4B9189AF">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RkMWQ4Y2JiMjc1MzllYWI0YTE1M2FiMmIxMjUifQ=="/>
  </w:docVars>
  <w:rsids>
    <w:rsidRoot w:val="1278135F"/>
    <w:rsid w:val="02584404"/>
    <w:rsid w:val="05BD3546"/>
    <w:rsid w:val="072D56FF"/>
    <w:rsid w:val="0849203C"/>
    <w:rsid w:val="090F37CC"/>
    <w:rsid w:val="09BF1E8A"/>
    <w:rsid w:val="0AF83835"/>
    <w:rsid w:val="0F193C56"/>
    <w:rsid w:val="0F5E02A9"/>
    <w:rsid w:val="0F9F502C"/>
    <w:rsid w:val="0FBB4B29"/>
    <w:rsid w:val="0FE7556F"/>
    <w:rsid w:val="116A5585"/>
    <w:rsid w:val="1278135F"/>
    <w:rsid w:val="13C608D8"/>
    <w:rsid w:val="145F6448"/>
    <w:rsid w:val="15431BC1"/>
    <w:rsid w:val="1989574D"/>
    <w:rsid w:val="19E04750"/>
    <w:rsid w:val="1A0D66E8"/>
    <w:rsid w:val="1AD20717"/>
    <w:rsid w:val="1C224C26"/>
    <w:rsid w:val="1CE97C57"/>
    <w:rsid w:val="1E9A22F3"/>
    <w:rsid w:val="208E5D79"/>
    <w:rsid w:val="213948E6"/>
    <w:rsid w:val="24493A57"/>
    <w:rsid w:val="24987B1B"/>
    <w:rsid w:val="24B65F0C"/>
    <w:rsid w:val="25054EC9"/>
    <w:rsid w:val="25AA4E6D"/>
    <w:rsid w:val="262275D1"/>
    <w:rsid w:val="276D2559"/>
    <w:rsid w:val="28E240AE"/>
    <w:rsid w:val="2B20237E"/>
    <w:rsid w:val="2C2C34BB"/>
    <w:rsid w:val="2DF041AD"/>
    <w:rsid w:val="2E46116F"/>
    <w:rsid w:val="2E515133"/>
    <w:rsid w:val="2E532A1D"/>
    <w:rsid w:val="2F606DB0"/>
    <w:rsid w:val="31EE792B"/>
    <w:rsid w:val="32AD7937"/>
    <w:rsid w:val="365F1BD0"/>
    <w:rsid w:val="36CE2A7D"/>
    <w:rsid w:val="37583AFE"/>
    <w:rsid w:val="38C53E0D"/>
    <w:rsid w:val="3DE107C4"/>
    <w:rsid w:val="3FD16491"/>
    <w:rsid w:val="41126768"/>
    <w:rsid w:val="41212C45"/>
    <w:rsid w:val="426042E3"/>
    <w:rsid w:val="43331054"/>
    <w:rsid w:val="43C1627A"/>
    <w:rsid w:val="440D7922"/>
    <w:rsid w:val="4631620C"/>
    <w:rsid w:val="49CA5750"/>
    <w:rsid w:val="4A44721E"/>
    <w:rsid w:val="4AF93370"/>
    <w:rsid w:val="4B4038E8"/>
    <w:rsid w:val="4C6836E0"/>
    <w:rsid w:val="4D813119"/>
    <w:rsid w:val="4E7262CB"/>
    <w:rsid w:val="4FD1338F"/>
    <w:rsid w:val="52F05060"/>
    <w:rsid w:val="54D77507"/>
    <w:rsid w:val="55164F4F"/>
    <w:rsid w:val="554E6B03"/>
    <w:rsid w:val="56BF29FE"/>
    <w:rsid w:val="581F5138"/>
    <w:rsid w:val="5BE913AC"/>
    <w:rsid w:val="5C8A19BC"/>
    <w:rsid w:val="5D836B61"/>
    <w:rsid w:val="5DEC23C3"/>
    <w:rsid w:val="5FE5E29A"/>
    <w:rsid w:val="60402552"/>
    <w:rsid w:val="60494A79"/>
    <w:rsid w:val="62423839"/>
    <w:rsid w:val="628329BE"/>
    <w:rsid w:val="63321A66"/>
    <w:rsid w:val="65A37A80"/>
    <w:rsid w:val="65B71049"/>
    <w:rsid w:val="6838566D"/>
    <w:rsid w:val="68BC4E6E"/>
    <w:rsid w:val="6A39041A"/>
    <w:rsid w:val="6AE20AD4"/>
    <w:rsid w:val="6B2667E8"/>
    <w:rsid w:val="6BFA5AB3"/>
    <w:rsid w:val="6C6C5DD7"/>
    <w:rsid w:val="6D0E6589"/>
    <w:rsid w:val="6E114067"/>
    <w:rsid w:val="6FAC6AED"/>
    <w:rsid w:val="70167C07"/>
    <w:rsid w:val="701F4515"/>
    <w:rsid w:val="70475378"/>
    <w:rsid w:val="70596BEA"/>
    <w:rsid w:val="716F1531"/>
    <w:rsid w:val="71BB4E52"/>
    <w:rsid w:val="731A2321"/>
    <w:rsid w:val="73C60B68"/>
    <w:rsid w:val="741D636A"/>
    <w:rsid w:val="74A8239A"/>
    <w:rsid w:val="76216828"/>
    <w:rsid w:val="76373B35"/>
    <w:rsid w:val="77A313F3"/>
    <w:rsid w:val="7AC1208A"/>
    <w:rsid w:val="7BFFC2C8"/>
    <w:rsid w:val="7C1E60AF"/>
    <w:rsid w:val="7C353FD0"/>
    <w:rsid w:val="7CA70448"/>
    <w:rsid w:val="7CD364DB"/>
    <w:rsid w:val="7CFBB938"/>
    <w:rsid w:val="7D1A0E49"/>
    <w:rsid w:val="7D2C5C84"/>
    <w:rsid w:val="7DDE0D86"/>
    <w:rsid w:val="7E085C95"/>
    <w:rsid w:val="7E785BB8"/>
    <w:rsid w:val="7F2877E0"/>
    <w:rsid w:val="7FFF79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99"/>
    <w:pPr>
      <w:spacing w:line="560" w:lineRule="exact"/>
      <w:ind w:firstLine="721"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font11"/>
    <w:basedOn w:val="11"/>
    <w:qFormat/>
    <w:uiPriority w:val="0"/>
    <w:rPr>
      <w:rFonts w:hint="eastAsia" w:ascii="宋体" w:hAnsi="宋体" w:eastAsia="宋体" w:cs="宋体"/>
      <w:color w:val="000000"/>
      <w:sz w:val="24"/>
      <w:szCs w:val="24"/>
      <w:u w:val="none"/>
    </w:rPr>
  </w:style>
  <w:style w:type="character" w:customStyle="1" w:styleId="15">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4110</Words>
  <Characters>4417</Characters>
  <Lines>0</Lines>
  <Paragraphs>0</Paragraphs>
  <TotalTime>3</TotalTime>
  <ScaleCrop>false</ScaleCrop>
  <LinksUpToDate>false</LinksUpToDate>
  <CharactersWithSpaces>4426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2023-03-28T17:42:00Z</dcterms:created>
  <dc:creator>Administrator</dc:creator>
  <cp:lastModifiedBy>user</cp:lastModifiedBy>
  <cp:lastPrinted>2025-03-26T17:39:00Z</cp:lastPrinted>
  <dcterms:modified xsi:type="dcterms:W3CDTF">2025-04-07T08:19:13Z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57091CF1F4DD421A81ED6BD3F315786A_13</vt:lpwstr>
  </property>
  <property fmtid="{D5CDD505-2E9C-101B-9397-08002B2CF9AE}" pid="4" name="KSOTemplateDocerSaveRecord">
    <vt:lpwstr>eyJoZGlkIjoiY2E3MTgyMzgxZTBiNmI4NzM2NGRiNDk4NDViZGZkZTQifQ==</vt:lpwstr>
  </property>
</Properties>
</file>