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B6FD5A">
      <w:pPr>
        <w:spacing w:before="100" w:beforeAutospacing="1" w:after="100" w:afterAutospacing="1" w:line="560" w:lineRule="exact"/>
        <w:jc w:val="center"/>
        <w:rPr>
          <w:rFonts w:hint="eastAsia" w:ascii="LinTimes" w:hAnsi="LinTimes" w:eastAsia="华文中宋" w:cs="LinTimes"/>
          <w:b/>
          <w:color w:val="auto"/>
          <w:sz w:val="44"/>
          <w:szCs w:val="44"/>
          <w:highlight w:val="none"/>
        </w:rPr>
      </w:pPr>
    </w:p>
    <w:p w14:paraId="1E84103C">
      <w:pPr>
        <w:spacing w:before="100" w:beforeAutospacing="1" w:after="100" w:afterAutospacing="1" w:line="560" w:lineRule="exact"/>
        <w:jc w:val="center"/>
        <w:rPr>
          <w:rFonts w:hint="eastAsia" w:ascii="方正小标宋简体" w:hAnsi="方正小标宋简体" w:eastAsia="方正小标宋简体" w:cs="方正小标宋简体"/>
          <w:b w:val="0"/>
          <w:bCs/>
          <w:color w:val="auto"/>
          <w:sz w:val="44"/>
          <w:szCs w:val="44"/>
          <w:highlight w:val="none"/>
        </w:rPr>
      </w:pPr>
    </w:p>
    <w:p w14:paraId="3D0EA36F">
      <w:pPr>
        <w:spacing w:before="240" w:beforeLines="100" w:after="240" w:afterLines="100" w:line="360" w:lineRule="auto"/>
        <w:ind w:firstLine="0" w:firstLineChars="0"/>
        <w:contextualSpacing/>
        <w:jc w:val="center"/>
        <w:outlineLvl w:val="0"/>
        <w:rPr>
          <w:rFonts w:hint="eastAsia" w:ascii="方正小标宋简体" w:hAnsi="方正小标宋简体" w:eastAsia="方正小标宋简体" w:cs="方正小标宋简体"/>
          <w:b w:val="0"/>
          <w:bCs w:val="0"/>
          <w:sz w:val="52"/>
          <w:szCs w:val="52"/>
        </w:rPr>
      </w:pPr>
      <w:r>
        <w:rPr>
          <w:rFonts w:hint="eastAsia" w:ascii="方正小标宋简体" w:hAnsi="方正小标宋简体" w:eastAsia="方正小标宋简体" w:cs="方正小标宋简体"/>
          <w:b w:val="0"/>
          <w:bCs w:val="0"/>
          <w:sz w:val="52"/>
          <w:szCs w:val="52"/>
        </w:rPr>
        <w:t>中华人民共和国第三届职业技能大赛</w:t>
      </w:r>
    </w:p>
    <w:p w14:paraId="5E94E4D0">
      <w:pPr>
        <w:spacing w:before="240" w:beforeLines="100" w:after="240" w:afterLines="100" w:line="360" w:lineRule="auto"/>
        <w:ind w:firstLine="0" w:firstLineChars="0"/>
        <w:contextualSpacing/>
        <w:jc w:val="center"/>
        <w:outlineLvl w:val="0"/>
        <w:rPr>
          <w:rFonts w:hint="eastAsia" w:ascii="方正小标宋简体" w:hAnsi="方正小标宋简体" w:eastAsia="方正小标宋简体" w:cs="方正小标宋简体"/>
          <w:b w:val="0"/>
          <w:bCs w:val="0"/>
          <w:sz w:val="52"/>
          <w:szCs w:val="52"/>
        </w:rPr>
      </w:pPr>
      <w:r>
        <w:rPr>
          <w:rFonts w:hint="eastAsia" w:ascii="方正小标宋简体" w:hAnsi="方正小标宋简体" w:eastAsia="方正小标宋简体" w:cs="方正小标宋简体"/>
          <w:b w:val="0"/>
          <w:bCs w:val="0"/>
          <w:sz w:val="52"/>
          <w:szCs w:val="52"/>
        </w:rPr>
        <w:t>山东省选拔赛</w:t>
      </w:r>
      <w:bookmarkStart w:id="0" w:name="_Toc19377"/>
      <w:bookmarkStart w:id="1" w:name="_Toc24123"/>
      <w:bookmarkStart w:id="2" w:name="_Toc23914"/>
      <w:bookmarkStart w:id="3" w:name="_Toc7065"/>
      <w:r>
        <w:rPr>
          <w:rFonts w:hint="eastAsia" w:ascii="方正小标宋简体" w:hAnsi="方正小标宋简体" w:eastAsia="方正小标宋简体" w:cs="方正小标宋简体"/>
          <w:b w:val="0"/>
          <w:bCs w:val="0"/>
          <w:sz w:val="52"/>
          <w:szCs w:val="52"/>
        </w:rPr>
        <w:t>化学实验室技术项目</w:t>
      </w:r>
    </w:p>
    <w:p w14:paraId="75D82B3D">
      <w:pPr>
        <w:spacing w:before="240" w:beforeLines="100" w:after="240" w:afterLines="100" w:line="360" w:lineRule="auto"/>
        <w:ind w:firstLine="0" w:firstLineChars="0"/>
        <w:contextualSpacing/>
        <w:jc w:val="center"/>
        <w:outlineLvl w:val="0"/>
        <w:rPr>
          <w:rFonts w:hint="eastAsia" w:ascii="方正小标宋简体" w:hAnsi="方正小标宋简体" w:eastAsia="方正小标宋简体" w:cs="方正小标宋简体"/>
          <w:b w:val="0"/>
          <w:bCs w:val="0"/>
          <w:sz w:val="52"/>
          <w:szCs w:val="52"/>
          <w:lang w:val="en-AU"/>
        </w:rPr>
      </w:pPr>
      <w:r>
        <w:rPr>
          <w:rFonts w:hint="eastAsia" w:ascii="方正小标宋简体" w:hAnsi="方正小标宋简体" w:eastAsia="方正小标宋简体" w:cs="方正小标宋简体"/>
          <w:b w:val="0"/>
          <w:bCs w:val="0"/>
          <w:sz w:val="52"/>
          <w:szCs w:val="52"/>
          <w:lang w:val="en-AU"/>
        </w:rPr>
        <w:t>技术工作文件</w:t>
      </w:r>
      <w:bookmarkEnd w:id="0"/>
      <w:bookmarkEnd w:id="1"/>
      <w:bookmarkEnd w:id="2"/>
      <w:bookmarkEnd w:id="3"/>
    </w:p>
    <w:p w14:paraId="374C83D1">
      <w:pPr>
        <w:pStyle w:val="13"/>
        <w:rPr>
          <w:rFonts w:hint="eastAsia" w:ascii="LinTimes" w:hAnsi="LinTimes" w:eastAsia="微软雅黑" w:cs="LinTimes"/>
          <w:color w:val="auto"/>
          <w:highlight w:val="none"/>
          <w:lang w:eastAsia="zh-CN"/>
        </w:rPr>
      </w:pPr>
    </w:p>
    <w:p w14:paraId="4471FB52">
      <w:pPr>
        <w:spacing w:line="560" w:lineRule="exact"/>
        <w:rPr>
          <w:rFonts w:hint="eastAsia" w:ascii="LinTimes" w:hAnsi="LinTimes" w:cs="LinTimes"/>
          <w:color w:val="auto"/>
          <w:highlight w:val="none"/>
          <w:lang w:val="en-AU"/>
        </w:rPr>
      </w:pPr>
    </w:p>
    <w:p w14:paraId="3C42FAB5">
      <w:pPr>
        <w:pStyle w:val="2"/>
        <w:ind w:firstLine="640"/>
        <w:rPr>
          <w:rFonts w:hint="eastAsia" w:ascii="LinTimes" w:hAnsi="LinTimes" w:cs="LinTimes"/>
          <w:color w:val="auto"/>
          <w:highlight w:val="none"/>
          <w:lang w:val="en-AU"/>
        </w:rPr>
      </w:pPr>
    </w:p>
    <w:p w14:paraId="76E8A06D">
      <w:pPr>
        <w:pStyle w:val="2"/>
        <w:ind w:firstLine="640"/>
        <w:rPr>
          <w:rFonts w:hint="eastAsia" w:ascii="LinTimes" w:hAnsi="LinTimes" w:cs="LinTimes"/>
          <w:color w:val="auto"/>
          <w:highlight w:val="none"/>
          <w:lang w:val="en-AU"/>
        </w:rPr>
      </w:pPr>
    </w:p>
    <w:p w14:paraId="220FCFC0">
      <w:pPr>
        <w:pStyle w:val="2"/>
        <w:ind w:firstLine="640"/>
        <w:rPr>
          <w:rFonts w:hint="eastAsia" w:ascii="LinTimes" w:hAnsi="LinTimes" w:cs="LinTimes"/>
          <w:color w:val="auto"/>
          <w:highlight w:val="none"/>
          <w:lang w:val="en-AU"/>
        </w:rPr>
      </w:pPr>
    </w:p>
    <w:p w14:paraId="2037753B">
      <w:pPr>
        <w:pStyle w:val="2"/>
        <w:ind w:firstLine="640"/>
        <w:rPr>
          <w:rFonts w:hint="eastAsia" w:ascii="LinTimes" w:hAnsi="LinTimes" w:cs="LinTimes"/>
          <w:color w:val="auto"/>
          <w:highlight w:val="none"/>
          <w:lang w:val="en-AU"/>
        </w:rPr>
      </w:pPr>
    </w:p>
    <w:p w14:paraId="7CFD72A5">
      <w:pPr>
        <w:spacing w:line="560" w:lineRule="exact"/>
        <w:rPr>
          <w:rFonts w:hint="eastAsia" w:ascii="仿宋" w:hAnsi="仿宋" w:eastAsia="仿宋" w:cs="仿宋"/>
          <w:color w:val="auto"/>
          <w:highlight w:val="none"/>
          <w:lang w:val="en-AU"/>
        </w:rPr>
      </w:pPr>
    </w:p>
    <w:p w14:paraId="0BE7FE5F">
      <w:pPr>
        <w:pStyle w:val="2"/>
        <w:ind w:firstLine="640"/>
        <w:rPr>
          <w:rFonts w:hint="eastAsia" w:ascii="仿宋" w:hAnsi="仿宋" w:eastAsia="仿宋" w:cs="仿宋"/>
          <w:color w:val="auto"/>
          <w:highlight w:val="none"/>
          <w:lang w:val="en-AU"/>
        </w:rPr>
      </w:pPr>
    </w:p>
    <w:p w14:paraId="2C4C9F8D">
      <w:pPr>
        <w:pStyle w:val="2"/>
        <w:ind w:firstLine="0" w:firstLineChars="0"/>
        <w:rPr>
          <w:rFonts w:hint="eastAsia" w:ascii="仿宋" w:hAnsi="仿宋" w:eastAsia="仿宋" w:cs="仿宋"/>
          <w:color w:val="auto"/>
          <w:highlight w:val="none"/>
          <w:lang w:val="en-AU"/>
        </w:rPr>
      </w:pPr>
    </w:p>
    <w:p w14:paraId="01AD9F3C">
      <w:pPr>
        <w:tabs>
          <w:tab w:val="center" w:pos="4755"/>
        </w:tabs>
        <w:spacing w:line="560" w:lineRule="exact"/>
        <w:ind w:firstLine="0" w:firstLineChars="0"/>
        <w:jc w:val="center"/>
        <w:outlineLvl w:val="0"/>
        <w:rPr>
          <w:rFonts w:hint="eastAsia" w:ascii="仿宋_GB2312" w:hAnsi="仿宋_GB2312" w:eastAsia="仿宋_GB2312" w:cs="仿宋_GB2312"/>
          <w:bCs/>
          <w:szCs w:val="32"/>
        </w:rPr>
      </w:pPr>
      <w:bookmarkStart w:id="4" w:name="_Toc22728"/>
      <w:r>
        <w:rPr>
          <w:rFonts w:hint="eastAsia" w:ascii="仿宋_GB2312" w:hAnsi="仿宋_GB2312" w:eastAsia="仿宋_GB2312" w:cs="仿宋_GB2312"/>
          <w:bCs/>
          <w:szCs w:val="32"/>
        </w:rPr>
        <w:t>中华人民共和国第三届职业技能大赛山东省选拔赛组委会</w:t>
      </w:r>
    </w:p>
    <w:p w14:paraId="4D00E263">
      <w:pPr>
        <w:tabs>
          <w:tab w:val="center" w:pos="4755"/>
        </w:tabs>
        <w:spacing w:line="560" w:lineRule="exact"/>
        <w:ind w:firstLine="0" w:firstLineChars="0"/>
        <w:jc w:val="center"/>
        <w:outlineLvl w:val="0"/>
        <w:rPr>
          <w:rFonts w:hint="eastAsia" w:ascii="仿宋_GB2312" w:hAnsi="仿宋_GB2312" w:eastAsia="仿宋_GB2312" w:cs="仿宋_GB2312"/>
          <w:bCs/>
          <w:szCs w:val="32"/>
        </w:rPr>
      </w:pPr>
      <w:r>
        <w:rPr>
          <w:rFonts w:hint="eastAsia" w:ascii="仿宋_GB2312" w:hAnsi="仿宋_GB2312" w:eastAsia="仿宋_GB2312" w:cs="仿宋_GB2312"/>
          <w:bCs/>
          <w:szCs w:val="32"/>
        </w:rPr>
        <w:t>技术工作组</w:t>
      </w:r>
      <w:bookmarkEnd w:id="4"/>
    </w:p>
    <w:p w14:paraId="4636E845">
      <w:pPr>
        <w:tabs>
          <w:tab w:val="center" w:pos="4755"/>
        </w:tabs>
        <w:spacing w:before="92"/>
        <w:ind w:firstLine="0" w:firstLineChars="0"/>
        <w:jc w:val="center"/>
        <w:rPr>
          <w:rFonts w:hint="eastAsia"/>
        </w:rPr>
        <w:sectPr>
          <w:headerReference r:id="rId3" w:type="default"/>
          <w:footerReference r:id="rId4" w:type="default"/>
          <w:pgSz w:w="11910" w:h="16840"/>
          <w:pgMar w:top="1984" w:right="1531" w:bottom="1814" w:left="1531" w:header="720" w:footer="720" w:gutter="0"/>
          <w:pgNumType w:fmt="decimal"/>
          <w:cols w:space="720" w:num="1"/>
        </w:sectPr>
      </w:pPr>
      <w:r>
        <w:rPr>
          <w:rFonts w:hint="eastAsia" w:ascii="仿宋_GB2312" w:hAnsi="仿宋_GB2312" w:eastAsia="仿宋_GB2312" w:cs="仿宋_GB2312"/>
          <w:bCs/>
          <w:szCs w:val="32"/>
        </w:rPr>
        <w:t>202</w:t>
      </w:r>
      <w:r>
        <w:rPr>
          <w:rFonts w:hint="eastAsia" w:ascii="仿宋_GB2312" w:hAnsi="仿宋_GB2312" w:eastAsia="仿宋_GB2312" w:cs="仿宋_GB2312"/>
          <w:bCs/>
          <w:szCs w:val="32"/>
          <w:lang w:val="en-US" w:eastAsia="zh-CN"/>
        </w:rPr>
        <w:t>4</w:t>
      </w:r>
      <w:r>
        <w:rPr>
          <w:rFonts w:hint="eastAsia" w:ascii="仿宋_GB2312" w:hAnsi="仿宋_GB2312" w:eastAsia="仿宋_GB2312" w:cs="仿宋_GB2312"/>
          <w:bCs/>
          <w:szCs w:val="32"/>
        </w:rPr>
        <w:t>年</w:t>
      </w:r>
      <w:r>
        <w:rPr>
          <w:rFonts w:hint="eastAsia" w:ascii="仿宋_GB2312" w:hAnsi="仿宋_GB2312" w:eastAsia="仿宋_GB2312" w:cs="仿宋_GB2312"/>
          <w:bCs/>
          <w:szCs w:val="32"/>
          <w:lang w:val="en-US" w:eastAsia="zh-CN"/>
        </w:rPr>
        <w:t>11</w:t>
      </w:r>
      <w:r>
        <w:rPr>
          <w:rFonts w:hint="eastAsia" w:ascii="仿宋_GB2312" w:hAnsi="仿宋_GB2312" w:eastAsia="仿宋_GB2312" w:cs="仿宋_GB2312"/>
          <w:bCs/>
          <w:szCs w:val="32"/>
        </w:rPr>
        <w:t>月</w:t>
      </w:r>
    </w:p>
    <w:p w14:paraId="3C1EE95D">
      <w:pPr>
        <w:spacing w:after="160" w:line="560" w:lineRule="exact"/>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sz w:val="36"/>
          <w:szCs w:val="36"/>
          <w:highlight w:val="none"/>
        </w:rPr>
        <w:t>目   录</w:t>
      </w:r>
    </w:p>
    <w:sdt>
      <w:sdtPr>
        <w:rPr>
          <w:rFonts w:hint="eastAsia" w:ascii="宋体" w:hAnsi="宋体" w:eastAsia="宋体" w:cs="宋体"/>
          <w:b/>
          <w:bCs w:val="0"/>
          <w:color w:val="auto"/>
          <w:sz w:val="30"/>
          <w:szCs w:val="30"/>
          <w:highlight w:val="none"/>
        </w:rPr>
        <w:id w:val="147473772"/>
        <w15:color w:val="DBDBDB"/>
        <w:docPartObj>
          <w:docPartGallery w:val="Table of Contents"/>
          <w:docPartUnique/>
        </w:docPartObj>
      </w:sdtPr>
      <w:sdtEndPr>
        <w:rPr>
          <w:rFonts w:hint="eastAsia" w:ascii="LinTimes" w:hAnsi="LinTimes" w:cs="LinTimes" w:eastAsiaTheme="minorEastAsia"/>
          <w:b/>
          <w:bCs w:val="0"/>
          <w:color w:val="auto"/>
          <w:sz w:val="32"/>
          <w:szCs w:val="30"/>
          <w:highlight w:val="none"/>
        </w:rPr>
      </w:sdtEndPr>
      <w:sdtContent>
        <w:p w14:paraId="064D5AF4">
          <w:pPr>
            <w:tabs>
              <w:tab w:val="left" w:pos="1058"/>
            </w:tabs>
            <w:spacing w:after="160" w:line="560" w:lineRule="exact"/>
            <w:rPr>
              <w:rFonts w:hint="eastAsia" w:ascii="宋体" w:hAnsi="宋体" w:eastAsia="宋体" w:cs="宋体"/>
              <w:b/>
              <w:bCs w:val="0"/>
              <w:color w:val="auto"/>
              <w:sz w:val="30"/>
              <w:szCs w:val="30"/>
              <w:highlight w:val="none"/>
            </w:rPr>
          </w:pPr>
          <w:r>
            <w:rPr>
              <w:rFonts w:hint="eastAsia" w:ascii="宋体" w:hAnsi="宋体" w:eastAsia="宋体" w:cs="宋体"/>
              <w:b/>
              <w:bCs w:val="0"/>
              <w:color w:val="auto"/>
              <w:sz w:val="30"/>
              <w:szCs w:val="30"/>
              <w:highlight w:val="none"/>
              <w:lang w:eastAsia="zh-CN"/>
            </w:rPr>
            <w:tab/>
          </w:r>
          <w:r>
            <w:rPr>
              <w:rFonts w:hint="eastAsia" w:ascii="宋体" w:hAnsi="宋体" w:eastAsia="宋体" w:cs="宋体"/>
              <w:b/>
              <w:bCs w:val="0"/>
              <w:color w:val="auto"/>
              <w:sz w:val="30"/>
              <w:szCs w:val="30"/>
              <w:highlight w:val="none"/>
            </w:rPr>
            <w:fldChar w:fldCharType="begin"/>
          </w:r>
          <w:r>
            <w:rPr>
              <w:rFonts w:hint="eastAsia" w:ascii="宋体" w:hAnsi="宋体" w:eastAsia="宋体" w:cs="宋体"/>
              <w:b/>
              <w:bCs w:val="0"/>
              <w:color w:val="auto"/>
              <w:sz w:val="30"/>
              <w:szCs w:val="30"/>
              <w:highlight w:val="none"/>
            </w:rPr>
            <w:instrText xml:space="preserve">TOC \o "1-2" \h \u </w:instrText>
          </w:r>
          <w:r>
            <w:rPr>
              <w:rFonts w:hint="eastAsia" w:ascii="宋体" w:hAnsi="宋体" w:eastAsia="宋体" w:cs="宋体"/>
              <w:b/>
              <w:bCs w:val="0"/>
              <w:color w:val="auto"/>
              <w:sz w:val="30"/>
              <w:szCs w:val="30"/>
              <w:highlight w:val="none"/>
            </w:rPr>
            <w:fldChar w:fldCharType="separate"/>
          </w:r>
        </w:p>
        <w:p w14:paraId="24325FB7">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"_Toc21490"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黑体" w:hAnsi="黑体" w:eastAsia="黑体" w:cs="黑体"/>
              <w:b w:val="0"/>
              <w:bCs/>
              <w:color w:val="auto"/>
              <w:kern w:val="2"/>
              <w:sz w:val="32"/>
              <w:szCs w:val="32"/>
              <w:highlight w:val="none"/>
              <w:lang w:val="en-US" w:eastAsia="zh-CN" w:bidi="ar-SA"/>
            </w:rPr>
            <w:t>一、技术描述</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_Toc21490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1</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3207A43D">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"_Toc1549"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（一）项目概要</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_Toc1549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1</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36EDEED2">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"_Toc9832"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（二）基本知识与能力要求</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_Toc9832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1</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731407AF">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"_Toc20161"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黑体" w:hAnsi="黑体" w:eastAsia="黑体" w:cs="黑体"/>
              <w:b w:val="0"/>
              <w:bCs/>
              <w:color w:val="auto"/>
              <w:kern w:val="2"/>
              <w:sz w:val="32"/>
              <w:szCs w:val="32"/>
              <w:highlight w:val="none"/>
              <w:lang w:val="en-US" w:eastAsia="zh-CN" w:bidi="ar-SA"/>
            </w:rPr>
            <w:t>二、试题与评判标准</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_Toc20161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10</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50799E6A">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"_Toc28968"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（一）试题</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_Toc28968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11</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0AD350B3">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"_Toc20623"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（二）比赛时间及试题具体内容</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_Toc20623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12</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26CFEA39">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"_Toc21432"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（三）评判标准</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_Toc21432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15</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1AF971A7">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"_Toc18068"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黑体" w:hAnsi="黑体" w:eastAsia="黑体" w:cs="黑体"/>
              <w:b w:val="0"/>
              <w:bCs/>
              <w:color w:val="auto"/>
              <w:kern w:val="2"/>
              <w:sz w:val="32"/>
              <w:szCs w:val="32"/>
              <w:highlight w:val="none"/>
              <w:lang w:val="en-US" w:eastAsia="zh-CN" w:bidi="ar-SA"/>
            </w:rPr>
            <w:t>三、竞赛细则</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_Toc18068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19</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1090F883">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"_Toc6057"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（一）竞赛时间安排</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_Toc6057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19</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41F8D8C3">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default"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"_Toc2911"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（二）参赛选手及工作要求</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t>2</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t>0</w:t>
          </w:r>
        </w:p>
        <w:p w14:paraId="4AB2A9F6">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"_Toc3976"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（三）裁判人员及工作要求</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_Toc3976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21</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6748681A">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"_Toc26783"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（四）问题或争议处理</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_Toc26783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23</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2DE119CC">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"_Toc25174"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（五）纪律要求</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_Toc25174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23</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1B365522">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"_Toc1328"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黑体" w:hAnsi="黑体" w:eastAsia="黑体" w:cs="黑体"/>
              <w:b w:val="0"/>
              <w:bCs/>
              <w:color w:val="auto"/>
              <w:kern w:val="2"/>
              <w:sz w:val="32"/>
              <w:szCs w:val="32"/>
              <w:highlight w:val="none"/>
              <w:lang w:val="en-US" w:eastAsia="zh-CN" w:bidi="ar-SA"/>
            </w:rPr>
            <w:t>四、竞赛场地、设施设备等安排</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_Toc1328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25</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398A2178">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"_Toc20436"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（一）赛场规格要求</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_Toc20436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25</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3E57703E">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"_Toc27838"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（二）场地布局图</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_Toc27838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26</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446AB84C">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"_Toc7211"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（三）基础设施清单</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_Toc7211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27</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6EDB9F81">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"_Toc1450"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黑体" w:hAnsi="黑体" w:eastAsia="黑体" w:cs="黑体"/>
              <w:b w:val="0"/>
              <w:bCs/>
              <w:color w:val="auto"/>
              <w:kern w:val="2"/>
              <w:sz w:val="32"/>
              <w:szCs w:val="32"/>
              <w:highlight w:val="none"/>
              <w:lang w:val="en-US" w:eastAsia="zh-CN" w:bidi="ar-SA"/>
            </w:rPr>
            <w:t>五、安全、健康要求</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_Toc1450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33</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1C5605A6">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"_Toc10908"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（一）选手安全防护装备</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_Toc10908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33</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13BB5095">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"_Toc32185"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（二）选手禁止携带易燃易爆物品</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_Toc32185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33</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5C4154E8">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"_Toc9077"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（三）赛场必须留有安全通道</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_Toc9077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34</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6905018A">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"_Toc26168"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（四）医护人员和药品的配备</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_Toc26168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34</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6E9E6DB0">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ind w:left="640" w:left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"_Toc3703"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（五）赛场安全</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_Toc3703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34</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593CAFBB">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"_Toc599"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黑体" w:hAnsi="黑体" w:eastAsia="黑体" w:cs="黑体"/>
              <w:b w:val="0"/>
              <w:bCs/>
              <w:color w:val="auto"/>
              <w:kern w:val="2"/>
              <w:sz w:val="32"/>
              <w:szCs w:val="32"/>
              <w:highlight w:val="none"/>
              <w:lang w:val="en-US" w:eastAsia="zh-CN" w:bidi="ar-SA"/>
            </w:rPr>
            <w:t>附件1 化学实验室技术项目竞赛样题</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t>3</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t>8</w:t>
          </w:r>
        </w:p>
        <w:p w14:paraId="7CCE9116">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"_Toc13941"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黑体" w:hAnsi="黑体" w:eastAsia="黑体" w:cs="黑体"/>
              <w:b w:val="0"/>
              <w:bCs/>
              <w:color w:val="auto"/>
              <w:kern w:val="2"/>
              <w:sz w:val="32"/>
              <w:szCs w:val="32"/>
              <w:highlight w:val="none"/>
              <w:lang w:val="en-US" w:eastAsia="zh-CN" w:bidi="ar-SA"/>
            </w:rPr>
            <w:t>附件2 考核项目配分表</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PAGEREF _Toc13941 \h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仿宋_GB2312" w:hAnsi="仿宋_GB2312" w:eastAsia="仿宋_GB2312" w:cs="仿宋_GB2312"/>
              <w:b w:val="0"/>
              <w:bCs/>
              <w:color w:val="auto"/>
              <w:kern w:val="2"/>
              <w:sz w:val="32"/>
              <w:szCs w:val="32"/>
              <w:highlight w:val="none"/>
              <w:lang w:val="en-US" w:eastAsia="zh-CN" w:bidi="ar-SA"/>
            </w:rPr>
            <w:t>46</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fldChar w:fldCharType="end"/>
          </w:r>
        </w:p>
        <w:p w14:paraId="52CCC014">
          <w:pPr>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jc w:val="both"/>
            <w:textAlignment w:val="auto"/>
            <w:rPr>
              <w:rFonts w:hint="default"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fldChar w:fldCharType="begin"/>
          </w:r>
          <w:r>
            <w:rPr>
              <w:rFonts w:hint="eastAsia" w:ascii="仿宋_GB2312" w:hAnsi="仿宋_GB2312" w:eastAsia="仿宋_GB2312" w:cs="仿宋_GB2312"/>
              <w:b w:val="0"/>
              <w:bCs/>
              <w:color w:val="auto"/>
              <w:kern w:val="2"/>
              <w:sz w:val="32"/>
              <w:szCs w:val="32"/>
              <w:highlight w:val="none"/>
              <w:lang w:val="en-US" w:eastAsia="zh-CN" w:bidi="ar-SA"/>
            </w:rPr>
            <w:instrText xml:space="preserve"> HYPERLINK \l "_Toc29635" </w:instrText>
          </w:r>
          <w:r>
            <w:rPr>
              <w:rFonts w:hint="eastAsia" w:ascii="仿宋_GB2312" w:hAnsi="仿宋_GB2312" w:eastAsia="仿宋_GB2312" w:cs="仿宋_GB2312"/>
              <w:b w:val="0"/>
              <w:bCs/>
              <w:color w:val="auto"/>
              <w:kern w:val="2"/>
              <w:sz w:val="32"/>
              <w:szCs w:val="32"/>
              <w:highlight w:val="none"/>
              <w:lang w:val="en-US" w:eastAsia="zh-CN" w:bidi="ar-SA"/>
            </w:rPr>
            <w:fldChar w:fldCharType="separate"/>
          </w:r>
          <w:r>
            <w:rPr>
              <w:rFonts w:hint="eastAsia" w:ascii="黑体" w:hAnsi="黑体" w:eastAsia="黑体" w:cs="黑体"/>
              <w:b w:val="0"/>
              <w:bCs/>
              <w:color w:val="auto"/>
              <w:kern w:val="2"/>
              <w:sz w:val="32"/>
              <w:szCs w:val="32"/>
              <w:highlight w:val="none"/>
              <w:lang w:val="en-US" w:eastAsia="zh-CN" w:bidi="ar-SA"/>
            </w:rPr>
            <w:t>附件3 PHSJ-3F型酸度计操作规程</w:t>
          </w:r>
          <w:r>
            <w:rPr>
              <w:rFonts w:hint="eastAsia" w:ascii="仿宋_GB2312" w:hAnsi="仿宋_GB2312" w:eastAsia="仿宋_GB2312" w:cs="仿宋_GB2312"/>
              <w:b w:val="0"/>
              <w:bCs/>
              <w:color w:val="auto"/>
              <w:kern w:val="2"/>
              <w:sz w:val="32"/>
              <w:szCs w:val="32"/>
              <w:highlight w:val="none"/>
              <w:lang w:val="en-US" w:eastAsia="zh-CN" w:bidi="ar-SA"/>
            </w:rPr>
            <w:tab/>
          </w:r>
          <w:r>
            <w:rPr>
              <w:rFonts w:hint="eastAsia" w:ascii="仿宋_GB2312" w:hAnsi="仿宋_GB2312" w:eastAsia="仿宋_GB2312" w:cs="仿宋_GB2312"/>
              <w:b w:val="0"/>
              <w:bCs/>
              <w:color w:val="auto"/>
              <w:kern w:val="2"/>
              <w:sz w:val="32"/>
              <w:szCs w:val="32"/>
              <w:highlight w:val="none"/>
              <w:lang w:val="en-US" w:eastAsia="zh-CN" w:bidi="ar-SA"/>
            </w:rPr>
            <w:t>4</w:t>
          </w:r>
          <w:r>
            <w:rPr>
              <w:rFonts w:hint="eastAsia" w:ascii="仿宋_GB2312" w:hAnsi="仿宋_GB2312" w:eastAsia="仿宋_GB2312" w:cs="仿宋_GB2312"/>
              <w:b w:val="0"/>
              <w:bCs/>
              <w:color w:val="auto"/>
              <w:kern w:val="2"/>
              <w:sz w:val="32"/>
              <w:szCs w:val="32"/>
              <w:highlight w:val="none"/>
              <w:lang w:val="en-US" w:eastAsia="zh-CN" w:bidi="ar-SA"/>
            </w:rPr>
            <w:fldChar w:fldCharType="end"/>
          </w:r>
          <w:r>
            <w:rPr>
              <w:rFonts w:hint="eastAsia" w:ascii="仿宋_GB2312" w:hAnsi="仿宋_GB2312" w:eastAsia="仿宋_GB2312" w:cs="仿宋_GB2312"/>
              <w:b w:val="0"/>
              <w:bCs/>
              <w:color w:val="auto"/>
              <w:kern w:val="2"/>
              <w:sz w:val="32"/>
              <w:szCs w:val="32"/>
              <w:highlight w:val="none"/>
              <w:lang w:val="en-US" w:eastAsia="zh-CN" w:bidi="ar-SA"/>
            </w:rPr>
            <w:t>9</w:t>
          </w:r>
        </w:p>
        <w:p w14:paraId="33EEAC0D">
          <w:pPr>
            <w:pStyle w:val="10"/>
            <w:keepNext w:val="0"/>
            <w:keepLines w:val="0"/>
            <w:pageBreakBefore w:val="0"/>
            <w:widowControl w:val="0"/>
            <w:tabs>
              <w:tab w:val="right" w:leader="dot" w:pos="8648"/>
            </w:tabs>
            <w:kinsoku/>
            <w:wordWrap/>
            <w:overflowPunct/>
            <w:topLinePunct w:val="0"/>
            <w:autoSpaceDE/>
            <w:autoSpaceDN/>
            <w:bidi w:val="0"/>
            <w:adjustRightInd w:val="0"/>
            <w:snapToGrid w:val="0"/>
            <w:spacing w:line="560" w:lineRule="exact"/>
            <w:textAlignment w:val="auto"/>
            <w:rPr>
              <w:rFonts w:hint="eastAsia" w:ascii="宋体" w:hAnsi="宋体" w:eastAsia="仿宋_GB2312" w:cs="宋体"/>
              <w:b w:val="0"/>
              <w:bCs/>
              <w:color w:val="auto"/>
              <w:sz w:val="30"/>
              <w:szCs w:val="30"/>
              <w:highlight w:val="none"/>
              <w:lang w:val="en-US" w:eastAsia="zh-CN"/>
            </w:rPr>
          </w:pPr>
          <w:r>
            <w:rPr>
              <w:rFonts w:hint="eastAsia" w:ascii="仿宋_GB2312" w:hAnsi="仿宋_GB2312" w:eastAsia="仿宋_GB2312" w:cs="仿宋_GB2312"/>
              <w:b w:val="0"/>
              <w:bCs/>
              <w:color w:val="auto"/>
              <w:sz w:val="32"/>
              <w:szCs w:val="32"/>
              <w:highlight w:val="none"/>
            </w:rPr>
            <w:fldChar w:fldCharType="begin"/>
          </w:r>
          <w:r>
            <w:rPr>
              <w:rFonts w:hint="eastAsia" w:ascii="仿宋_GB2312" w:hAnsi="仿宋_GB2312" w:eastAsia="仿宋_GB2312" w:cs="仿宋_GB2312"/>
              <w:b w:val="0"/>
              <w:bCs/>
              <w:color w:val="auto"/>
              <w:sz w:val="32"/>
              <w:szCs w:val="32"/>
              <w:highlight w:val="none"/>
            </w:rPr>
            <w:instrText xml:space="preserve"> HYPERLINK \l "_Toc4524" </w:instrText>
          </w:r>
          <w:r>
            <w:rPr>
              <w:rFonts w:hint="eastAsia" w:ascii="仿宋_GB2312" w:hAnsi="仿宋_GB2312" w:eastAsia="仿宋_GB2312" w:cs="仿宋_GB2312"/>
              <w:b w:val="0"/>
              <w:bCs/>
              <w:color w:val="auto"/>
              <w:sz w:val="32"/>
              <w:szCs w:val="32"/>
              <w:highlight w:val="none"/>
            </w:rPr>
            <w:fldChar w:fldCharType="separate"/>
          </w:r>
          <w:r>
            <w:rPr>
              <w:rFonts w:hint="eastAsia" w:ascii="黑体" w:hAnsi="黑体" w:eastAsia="黑体" w:cs="黑体"/>
              <w:b w:val="0"/>
              <w:bCs/>
              <w:color w:val="auto"/>
              <w:kern w:val="2"/>
              <w:sz w:val="32"/>
              <w:szCs w:val="32"/>
              <w:highlight w:val="none"/>
              <w:lang w:val="en-US" w:eastAsia="zh-CN" w:bidi="ar-SA"/>
            </w:rPr>
            <w:t>附件4 双光束紫外可见分光光度计操作规程</w:t>
          </w:r>
          <w:r>
            <w:rPr>
              <w:rFonts w:hint="eastAsia" w:ascii="仿宋_GB2312" w:hAnsi="仿宋_GB2312" w:eastAsia="仿宋_GB2312" w:cs="仿宋_GB2312"/>
              <w:b w:val="0"/>
              <w:bCs/>
              <w:color w:val="auto"/>
              <w:sz w:val="32"/>
              <w:szCs w:val="32"/>
              <w:highlight w:val="none"/>
            </w:rPr>
            <w:tab/>
          </w:r>
          <w:r>
            <w:rPr>
              <w:rFonts w:hint="eastAsia" w:ascii="仿宋_GB2312" w:hAnsi="仿宋_GB2312" w:eastAsia="仿宋_GB2312" w:cs="仿宋_GB2312"/>
              <w:b w:val="0"/>
              <w:bCs/>
              <w:color w:val="auto"/>
              <w:sz w:val="32"/>
              <w:szCs w:val="32"/>
              <w:highlight w:val="none"/>
              <w:lang w:val="en-US" w:eastAsia="zh-CN"/>
            </w:rPr>
            <w:t>5</w:t>
          </w:r>
          <w:r>
            <w:rPr>
              <w:rFonts w:hint="eastAsia" w:ascii="仿宋_GB2312" w:hAnsi="仿宋_GB2312" w:eastAsia="仿宋_GB2312" w:cs="仿宋_GB2312"/>
              <w:b w:val="0"/>
              <w:bCs/>
              <w:color w:val="auto"/>
              <w:sz w:val="32"/>
              <w:szCs w:val="32"/>
              <w:highlight w:val="none"/>
            </w:rPr>
            <w:fldChar w:fldCharType="end"/>
          </w:r>
          <w:r>
            <w:rPr>
              <w:rFonts w:hint="eastAsia" w:ascii="仿宋_GB2312" w:hAnsi="仿宋_GB2312" w:eastAsia="仿宋_GB2312" w:cs="仿宋_GB2312"/>
              <w:b w:val="0"/>
              <w:bCs/>
              <w:color w:val="auto"/>
              <w:sz w:val="32"/>
              <w:szCs w:val="32"/>
              <w:highlight w:val="none"/>
              <w:lang w:val="en-US" w:eastAsia="zh-CN"/>
            </w:rPr>
            <w:t>6</w:t>
          </w:r>
        </w:p>
        <w:p w14:paraId="4726DE9B">
          <w:pPr>
            <w:pStyle w:val="10"/>
            <w:tabs>
              <w:tab w:val="right" w:leader="dot" w:pos="8648"/>
            </w:tabs>
            <w:spacing w:after="160" w:line="560" w:lineRule="exact"/>
            <w:rPr>
              <w:rFonts w:hint="eastAsia" w:ascii="LinTimes" w:hAnsi="LinTimes" w:cs="LinTimes"/>
              <w:color w:val="auto"/>
              <w:highlight w:val="none"/>
            </w:rPr>
            <w:sectPr>
              <w:headerReference r:id="rId5" w:type="default"/>
              <w:footerReference r:id="rId6" w:type="default"/>
              <w:pgSz w:w="11906" w:h="16839"/>
              <w:pgMar w:top="1984" w:right="1531" w:bottom="1814" w:left="1531" w:header="0" w:footer="1071" w:gutter="0"/>
              <w:cols w:space="720" w:num="1"/>
            </w:sectPr>
          </w:pPr>
          <w:r>
            <w:rPr>
              <w:rFonts w:hint="eastAsia" w:ascii="宋体" w:hAnsi="宋体" w:eastAsia="宋体" w:cs="宋体"/>
              <w:b/>
              <w:bCs w:val="0"/>
              <w:color w:val="auto"/>
              <w:sz w:val="30"/>
              <w:szCs w:val="30"/>
              <w:highlight w:val="none"/>
            </w:rPr>
            <w:fldChar w:fldCharType="end"/>
          </w:r>
        </w:p>
      </w:sdtContent>
    </w:sdt>
    <w:p w14:paraId="3D1979EE">
      <w:pPr>
        <w:pStyle w:val="4"/>
        <w:pageBreakBefore w:val="0"/>
        <w:widowControl w:val="0"/>
        <w:kinsoku/>
        <w:wordWrap/>
        <w:overflowPunct/>
        <w:topLinePunct w:val="0"/>
        <w:autoSpaceDE/>
        <w:autoSpaceDN/>
        <w:bidi w:val="0"/>
        <w:adjustRightInd w:val="0"/>
        <w:snapToGrid w:val="0"/>
        <w:spacing w:beforeAutospacing="0" w:afterAutospacing="0" w:line="600" w:lineRule="exact"/>
        <w:ind w:left="640"/>
        <w:textAlignment w:val="auto"/>
        <w:rPr>
          <w:rFonts w:hint="eastAsia" w:ascii="仿宋" w:hAnsi="仿宋" w:eastAsia="仿宋" w:cs="仿宋"/>
          <w:color w:val="auto"/>
          <w:sz w:val="32"/>
          <w:szCs w:val="32"/>
          <w:highlight w:val="none"/>
        </w:rPr>
      </w:pPr>
      <w:bookmarkStart w:id="5" w:name="_Toc21490"/>
      <w:r>
        <w:rPr>
          <w:rFonts w:hint="eastAsia" w:ascii="黑体" w:hAnsi="黑体" w:eastAsia="黑体" w:cs="黑体"/>
          <w:b w:val="0"/>
          <w:bCs/>
          <w:color w:val="auto"/>
          <w:sz w:val="32"/>
          <w:szCs w:val="32"/>
          <w:highlight w:val="none"/>
        </w:rPr>
        <w:t>一、技术描述</w:t>
      </w:r>
      <w:bookmarkEnd w:id="5"/>
    </w:p>
    <w:p w14:paraId="0483CB98">
      <w:pPr>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1"/>
        <w:rPr>
          <w:rFonts w:hint="eastAsia" w:ascii="仿宋" w:hAnsi="仿宋" w:eastAsia="仿宋" w:cs="仿宋"/>
          <w:b/>
          <w:bCs/>
          <w:color w:val="auto"/>
          <w:sz w:val="32"/>
          <w:szCs w:val="32"/>
          <w:highlight w:val="none"/>
        </w:rPr>
      </w:pPr>
      <w:bookmarkStart w:id="6" w:name="_Toc1549"/>
      <w:r>
        <w:rPr>
          <w:rFonts w:hint="eastAsia" w:ascii="楷体" w:hAnsi="楷体" w:eastAsia="楷体" w:cs="楷体"/>
          <w:b/>
          <w:bCs/>
          <w:color w:val="auto"/>
          <w:sz w:val="32"/>
          <w:szCs w:val="32"/>
          <w:highlight w:val="none"/>
        </w:rPr>
        <w:t>（一）项目概要</w:t>
      </w:r>
      <w:bookmarkEnd w:id="6"/>
    </w:p>
    <w:p w14:paraId="22B90D8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化学实验室技术项目是指在石油与化工、制药、建筑材料、油漆和涂料、高分子材料、国防科技等行业的质量控制部门、研究和开发部门、企业的环保部门从事产品质量分析、物质的合成与化学测试、实验室</w:t>
      </w:r>
      <w:bookmarkStart w:id="154" w:name="_GoBack"/>
      <w:bookmarkEnd w:id="154"/>
      <w:r>
        <w:rPr>
          <w:rFonts w:hint="eastAsia" w:ascii="仿宋_GB2312" w:hAnsi="仿宋_GB2312" w:eastAsia="仿宋_GB2312" w:cs="仿宋_GB2312"/>
          <w:color w:val="auto"/>
          <w:sz w:val="32"/>
          <w:szCs w:val="32"/>
          <w:highlight w:val="none"/>
        </w:rPr>
        <w:t>组织与管理、安全预防与环保等内容的工作，例如在企业生产中原材料的特性分析、生产过程中的中间质量控制、产品最终的质量保证等。</w:t>
      </w:r>
    </w:p>
    <w:p w14:paraId="19020A0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化学实验室技术人员应该能确定最优的工具和方法分析不同的自然材料和合成材料，使用现代化学和物理化学方法进行定性、定量分析，完成实验室的其他类型工作，如按照标准和规范要求进行不同样品的合成、检测实验条件优化等工作。实验过程中应该科学地开展系统化工作，必须遵守HSE相关标准和要求，对所取得的数据进行处理并通过办公软件编辑、报告分析结果。</w:t>
      </w:r>
    </w:p>
    <w:p w14:paraId="3F6EDE8C">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7" w:name="_Toc9832"/>
      <w:r>
        <w:rPr>
          <w:rFonts w:hint="eastAsia" w:ascii="楷体" w:hAnsi="楷体" w:eastAsia="楷体" w:cs="楷体"/>
          <w:b/>
          <w:bCs/>
          <w:color w:val="auto"/>
          <w:kern w:val="2"/>
          <w:sz w:val="32"/>
          <w:szCs w:val="32"/>
          <w:highlight w:val="none"/>
          <w:lang w:val="en-US" w:eastAsia="zh-CN" w:bidi="ar-SA"/>
        </w:rPr>
        <w:t>（二）基本知识与能力要求</w:t>
      </w:r>
      <w:bookmarkEnd w:id="7"/>
    </w:p>
    <w:p w14:paraId="0E8490F1">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化学实验室技术项目选手理论知识、工作能力的要求以及各项要求的权重比例见下表：</w:t>
      </w:r>
    </w:p>
    <w:p w14:paraId="57D86390">
      <w:pPr>
        <w:pStyle w:val="2"/>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表1 化学实验室技术项目基本知识与能力要求权重比例</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6604"/>
        <w:gridCol w:w="1571"/>
      </w:tblGrid>
      <w:tr w14:paraId="7914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2" w:type="pct"/>
            <w:gridSpan w:val="2"/>
            <w:shd w:val="clear" w:color="auto" w:fill="auto"/>
            <w:vAlign w:val="center"/>
          </w:tcPr>
          <w:p w14:paraId="0B9F3626">
            <w:pPr>
              <w:keepNext w:val="0"/>
              <w:keepLines w:val="0"/>
              <w:pageBreakBefore w:val="0"/>
              <w:kinsoku/>
              <w:wordWrap/>
              <w:overflowPunct/>
              <w:topLinePunct w:val="0"/>
              <w:autoSpaceDE/>
              <w:autoSpaceDN/>
              <w:bidi w:val="0"/>
              <w:adjustRightInd w:val="0"/>
              <w:snapToGrid w:val="0"/>
              <w:spacing w:line="600" w:lineRule="exact"/>
              <w:ind w:firstLine="644" w:firstLineChars="200"/>
              <w:jc w:val="center"/>
              <w:textAlignment w:val="auto"/>
              <w:rPr>
                <w:rFonts w:hint="eastAsia" w:ascii="仿宋_GB2312" w:hAnsi="仿宋_GB2312" w:eastAsia="仿宋_GB2312" w:cs="仿宋_GB2312"/>
                <w:b/>
                <w:bCs w:val="0"/>
                <w:color w:val="auto"/>
                <w:spacing w:val="1"/>
                <w:sz w:val="32"/>
                <w:szCs w:val="32"/>
                <w:highlight w:val="none"/>
              </w:rPr>
            </w:pPr>
            <w:r>
              <w:rPr>
                <w:rFonts w:hint="eastAsia" w:ascii="仿宋_GB2312" w:hAnsi="仿宋_GB2312" w:eastAsia="仿宋_GB2312" w:cs="仿宋_GB2312"/>
                <w:b/>
                <w:bCs w:val="0"/>
                <w:color w:val="auto"/>
                <w:spacing w:val="1"/>
                <w:sz w:val="32"/>
                <w:szCs w:val="32"/>
                <w:highlight w:val="none"/>
              </w:rPr>
              <w:t>相关要求</w:t>
            </w:r>
          </w:p>
        </w:tc>
        <w:tc>
          <w:tcPr>
            <w:tcW w:w="867" w:type="pct"/>
            <w:shd w:val="clear" w:color="auto" w:fill="auto"/>
            <w:vAlign w:val="center"/>
          </w:tcPr>
          <w:p w14:paraId="37839BF4">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val="0"/>
                <w:color w:val="auto"/>
                <w:spacing w:val="1"/>
                <w:sz w:val="32"/>
                <w:szCs w:val="32"/>
                <w:highlight w:val="none"/>
              </w:rPr>
            </w:pPr>
            <w:r>
              <w:rPr>
                <w:rFonts w:hint="eastAsia" w:ascii="仿宋_GB2312" w:hAnsi="仿宋_GB2312" w:eastAsia="仿宋_GB2312" w:cs="仿宋_GB2312"/>
                <w:b/>
                <w:bCs w:val="0"/>
                <w:color w:val="auto"/>
                <w:spacing w:val="1"/>
                <w:sz w:val="32"/>
                <w:szCs w:val="32"/>
                <w:highlight w:val="none"/>
              </w:rPr>
              <w:t>权重比例(%)</w:t>
            </w:r>
          </w:p>
        </w:tc>
      </w:tr>
      <w:tr w14:paraId="3301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10F47DB3">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1</w:t>
            </w:r>
          </w:p>
        </w:tc>
        <w:tc>
          <w:tcPr>
            <w:tcW w:w="3646" w:type="pct"/>
            <w:shd w:val="clear" w:color="auto" w:fill="auto"/>
          </w:tcPr>
          <w:p w14:paraId="601E58CA">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工作组织及管理</w:t>
            </w:r>
          </w:p>
        </w:tc>
        <w:tc>
          <w:tcPr>
            <w:tcW w:w="867" w:type="pct"/>
            <w:shd w:val="clear" w:color="auto" w:fill="auto"/>
          </w:tcPr>
          <w:p w14:paraId="34BCCE5C">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10</w:t>
            </w:r>
          </w:p>
        </w:tc>
      </w:tr>
      <w:tr w14:paraId="0C5B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1CEAE58B">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基本知识</w:t>
            </w:r>
          </w:p>
        </w:tc>
        <w:tc>
          <w:tcPr>
            <w:tcW w:w="3646" w:type="pct"/>
            <w:shd w:val="clear" w:color="auto" w:fill="auto"/>
          </w:tcPr>
          <w:p w14:paraId="0E39878F">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行业的内部和外部规章制度等整体情况 </w:t>
            </w:r>
          </w:p>
          <w:p w14:paraId="7F6C9C59">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内部企业环境，包括个人岗位身份、职业道德实践和行为规范</w:t>
            </w:r>
          </w:p>
          <w:p w14:paraId="098E1EF4">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健康和安全法规、规定和最佳实践方法</w:t>
            </w:r>
          </w:p>
          <w:p w14:paraId="7F14FCD5">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基于实验室活动的科学原理</w:t>
            </w:r>
          </w:p>
          <w:p w14:paraId="5B487013">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工作规划、时间计划、组织和完成的相关原则</w:t>
            </w:r>
          </w:p>
          <w:p w14:paraId="543CD6E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应用化学的理论基础知识，包括如何在实验室工作中应用物理、有机和无机化学</w:t>
            </w:r>
          </w:p>
          <w:p w14:paraId="762DC6E7">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化学和化学相关物质的安全处置废弃或循环回收的原理和方法</w:t>
            </w:r>
          </w:p>
        </w:tc>
        <w:tc>
          <w:tcPr>
            <w:tcW w:w="867" w:type="pct"/>
            <w:shd w:val="clear" w:color="auto" w:fill="auto"/>
          </w:tcPr>
          <w:p w14:paraId="10284D20">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3F0E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79130048">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工作能力</w:t>
            </w:r>
          </w:p>
        </w:tc>
        <w:tc>
          <w:tcPr>
            <w:tcW w:w="3646" w:type="pct"/>
            <w:shd w:val="clear" w:color="auto" w:fill="auto"/>
          </w:tcPr>
          <w:p w14:paraId="3DE6FF4C">
            <w:pPr>
              <w:keepNext w:val="0"/>
              <w:keepLines w:val="0"/>
              <w:pageBreakBefore w:val="0"/>
              <w:kinsoku/>
              <w:wordWrap/>
              <w:overflowPunct/>
              <w:topLinePunct w:val="0"/>
              <w:autoSpaceDE/>
              <w:autoSpaceDN/>
              <w:bidi w:val="0"/>
              <w:adjustRightInd w:val="0"/>
              <w:snapToGrid w:val="0"/>
              <w:spacing w:line="600" w:lineRule="exact"/>
              <w:ind w:right="15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正确穿戴个人防护服和设备，始终保证个人健康和安全</w:t>
            </w:r>
          </w:p>
          <w:p w14:paraId="56DF36C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按照相关规定、规范、质量、安全和环境标准进行工作 </w:t>
            </w:r>
          </w:p>
          <w:p w14:paraId="56C51F69">
            <w:pPr>
              <w:keepNext w:val="0"/>
              <w:keepLines w:val="0"/>
              <w:pageBreakBefore w:val="0"/>
              <w:shd w:val="clear"/>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val="0"/>
                <w:bCs/>
                <w:color w:val="auto"/>
                <w:sz w:val="32"/>
                <w:szCs w:val="32"/>
                <w:highlight w:val="none"/>
              </w:rPr>
              <w:t>• 应用安全数据表</w:t>
            </w:r>
            <w:r>
              <w:rPr>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b w:val="0"/>
                <w:bCs/>
                <w:color w:val="auto"/>
                <w:sz w:val="32"/>
                <w:szCs w:val="32"/>
                <w:highlight w:val="none"/>
              </w:rPr>
              <w:t>措施和步骤，用于</w:t>
            </w:r>
            <w:r>
              <w:rPr>
                <w:rFonts w:hint="eastAsia" w:ascii="仿宋_GB2312" w:hAnsi="仿宋_GB2312" w:eastAsia="仿宋_GB2312" w:cs="仿宋_GB2312"/>
                <w:b w:val="0"/>
                <w:bCs/>
                <w:color w:val="auto"/>
                <w:sz w:val="32"/>
                <w:szCs w:val="32"/>
                <w:highlight w:val="none"/>
                <w:lang w:eastAsia="zh-CN"/>
              </w:rPr>
              <w:t>：</w:t>
            </w:r>
          </w:p>
          <w:p w14:paraId="6314E00F">
            <w:pPr>
              <w:keepNext w:val="0"/>
              <w:keepLines w:val="0"/>
              <w:pageBreakBefore w:val="0"/>
              <w:shd w:val="clear"/>
              <w:kinsoku/>
              <w:wordWrap/>
              <w:overflowPunct/>
              <w:topLinePunct w:val="0"/>
              <w:autoSpaceDE/>
              <w:autoSpaceDN/>
              <w:bidi w:val="0"/>
              <w:adjustRightInd w:val="0"/>
              <w:snapToGrid w:val="0"/>
              <w:spacing w:line="600" w:lineRule="exact"/>
              <w:ind w:firstLine="320" w:firstLineChars="10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①</w:t>
            </w:r>
            <w:r>
              <w:rPr>
                <w:rFonts w:hint="eastAsia" w:ascii="仿宋_GB2312" w:hAnsi="仿宋_GB2312" w:eastAsia="仿宋_GB2312" w:cs="仿宋_GB2312"/>
                <w:b w:val="0"/>
                <w:bCs/>
                <w:color w:val="auto"/>
                <w:sz w:val="32"/>
                <w:szCs w:val="32"/>
                <w:highlight w:val="none"/>
              </w:rPr>
              <w:t xml:space="preserve">操作、维护和修理实验室设施、装置和设备 </w:t>
            </w:r>
          </w:p>
          <w:p w14:paraId="7141FF70">
            <w:pPr>
              <w:keepNext w:val="0"/>
              <w:keepLines w:val="0"/>
              <w:pageBreakBefore w:val="0"/>
              <w:shd w:val="clear"/>
              <w:kinsoku/>
              <w:wordWrap/>
              <w:overflowPunct/>
              <w:topLinePunct w:val="0"/>
              <w:autoSpaceDE/>
              <w:autoSpaceDN/>
              <w:bidi w:val="0"/>
              <w:adjustRightInd w:val="0"/>
              <w:snapToGrid w:val="0"/>
              <w:spacing w:line="600" w:lineRule="exact"/>
              <w:ind w:firstLine="320" w:firstLineChars="10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②</w:t>
            </w:r>
            <w:r>
              <w:rPr>
                <w:rFonts w:hint="eastAsia" w:ascii="仿宋_GB2312" w:hAnsi="仿宋_GB2312" w:eastAsia="仿宋_GB2312" w:cs="仿宋_GB2312"/>
                <w:b w:val="0"/>
                <w:bCs/>
                <w:color w:val="auto"/>
                <w:sz w:val="32"/>
                <w:szCs w:val="32"/>
                <w:highlight w:val="none"/>
              </w:rPr>
              <w:t xml:space="preserve">处置回收实验室中的化学品 </w:t>
            </w:r>
          </w:p>
          <w:p w14:paraId="33B6DA7E">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主动地遵守风险管理系统规定开展工作</w:t>
            </w:r>
          </w:p>
          <w:p w14:paraId="45AC6759">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维护良好的实验室卫生整洁</w:t>
            </w:r>
          </w:p>
          <w:p w14:paraId="15EC7F3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按照预算和预算流程，订购和维持一定的材料库存</w:t>
            </w:r>
          </w:p>
          <w:p w14:paraId="12EE8C9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确保电子设备完备可用</w:t>
            </w:r>
          </w:p>
          <w:p w14:paraId="117A2C95">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检查结构和材料的状态和可用性</w:t>
            </w:r>
          </w:p>
          <w:p w14:paraId="2853BA42">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独立工作，负责在当前的工作角色的范围内启动和完成任务</w:t>
            </w:r>
          </w:p>
          <w:p w14:paraId="0CE5433B">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预估完成某项工作所需的时间、成本、资源和所需材料</w:t>
            </w:r>
          </w:p>
          <w:p w14:paraId="0D76AD4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开发特定的工作目标和计划，设定目标和指标，优化、组织并完成工作</w:t>
            </w:r>
          </w:p>
          <w:p w14:paraId="6D48C2B2">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寻找滞后问题的解决方法和替代方法</w:t>
            </w:r>
          </w:p>
          <w:p w14:paraId="6B681664">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根据需求调整活动，并及时告知其他相关人员</w:t>
            </w:r>
          </w:p>
        </w:tc>
        <w:tc>
          <w:tcPr>
            <w:tcW w:w="867" w:type="pct"/>
            <w:shd w:val="clear" w:color="auto" w:fill="auto"/>
          </w:tcPr>
          <w:p w14:paraId="06144D1A">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21C8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1CB0004A">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2</w:t>
            </w:r>
          </w:p>
        </w:tc>
        <w:tc>
          <w:tcPr>
            <w:tcW w:w="3646" w:type="pct"/>
            <w:shd w:val="clear" w:color="auto" w:fill="auto"/>
          </w:tcPr>
          <w:p w14:paraId="1BDA10DC">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沟通及交际技巧</w:t>
            </w:r>
          </w:p>
        </w:tc>
        <w:tc>
          <w:tcPr>
            <w:tcW w:w="867" w:type="pct"/>
            <w:shd w:val="clear" w:color="auto" w:fill="auto"/>
          </w:tcPr>
          <w:p w14:paraId="13AEFD5D">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10</w:t>
            </w:r>
          </w:p>
        </w:tc>
      </w:tr>
      <w:tr w14:paraId="77CE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5CC2D7AC">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基本知识</w:t>
            </w:r>
          </w:p>
        </w:tc>
        <w:tc>
          <w:tcPr>
            <w:tcW w:w="3646" w:type="pct"/>
            <w:shd w:val="clear" w:color="auto" w:fill="auto"/>
          </w:tcPr>
          <w:p w14:paraId="452897BF">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通讯的原则</w:t>
            </w:r>
          </w:p>
          <w:p w14:paraId="443C6CC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人际交互的原则</w:t>
            </w:r>
          </w:p>
          <w:p w14:paraId="33143CD2">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某人工作对他人的影响，尤其是与多样化和平等相关的方面</w:t>
            </w:r>
          </w:p>
          <w:p w14:paraId="7D454F46">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与工作角色和行业相关的专业词汇</w:t>
            </w:r>
          </w:p>
          <w:p w14:paraId="59F8203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用于数据呈现的分析方法的意图和目的</w:t>
            </w:r>
          </w:p>
          <w:p w14:paraId="108588D3">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报告结果的限制</w:t>
            </w:r>
          </w:p>
          <w:p w14:paraId="49E06939">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使用信息技术、管理信息系统和化学环境下中的数据库</w:t>
            </w:r>
          </w:p>
        </w:tc>
        <w:tc>
          <w:tcPr>
            <w:tcW w:w="867" w:type="pct"/>
            <w:shd w:val="clear" w:color="auto" w:fill="auto"/>
          </w:tcPr>
          <w:p w14:paraId="5EC0C8A9">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3B91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7687335B">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工作能力</w:t>
            </w:r>
          </w:p>
        </w:tc>
        <w:tc>
          <w:tcPr>
            <w:tcW w:w="3646" w:type="pct"/>
            <w:shd w:val="clear" w:color="auto" w:fill="auto"/>
          </w:tcPr>
          <w:p w14:paraId="32C88B5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建立和维持人际关系</w:t>
            </w:r>
          </w:p>
          <w:p w14:paraId="78C2685B">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与他人协同工作和互动，包括团队内部</w:t>
            </w:r>
          </w:p>
          <w:p w14:paraId="0ED3377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为化学工作人员或其他专业人员提供技术支持</w:t>
            </w:r>
          </w:p>
          <w:p w14:paraId="6409D270">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在正式场合和非正式场合的沟通技能，包括发言、写作、肢体语言和主动倾听</w:t>
            </w:r>
          </w:p>
          <w:p w14:paraId="38E4409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使用专业术语，包括来自于其他语言中的专业术语</w:t>
            </w:r>
          </w:p>
          <w:p w14:paraId="39EBFBE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从所有相关资源获取信息，根据需要引用资源</w:t>
            </w:r>
          </w:p>
          <w:p w14:paraId="6DE3C15F">
            <w:pPr>
              <w:keepNext w:val="0"/>
              <w:keepLines w:val="0"/>
              <w:pageBreakBefore w:val="0"/>
              <w:shd w:val="clear"/>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val="0"/>
                <w:bCs/>
                <w:color w:val="auto"/>
                <w:sz w:val="32"/>
                <w:szCs w:val="32"/>
                <w:highlight w:val="none"/>
              </w:rPr>
              <w:t>• 阅读和应用技术文档中的内容，如</w:t>
            </w:r>
            <w:r>
              <w:rPr>
                <w:rFonts w:hint="eastAsia" w:ascii="仿宋_GB2312" w:hAnsi="仿宋_GB2312" w:eastAsia="仿宋_GB2312" w:cs="仿宋_GB2312"/>
                <w:b w:val="0"/>
                <w:bCs/>
                <w:color w:val="auto"/>
                <w:sz w:val="32"/>
                <w:szCs w:val="32"/>
                <w:highlight w:val="none"/>
                <w:lang w:eastAsia="zh-CN"/>
              </w:rPr>
              <w:t>：</w:t>
            </w:r>
          </w:p>
          <w:p w14:paraId="751C4A19">
            <w:pPr>
              <w:keepNext w:val="0"/>
              <w:keepLines w:val="0"/>
              <w:pageBreakBefore w:val="0"/>
              <w:shd w:val="clear"/>
              <w:kinsoku/>
              <w:wordWrap/>
              <w:overflowPunct/>
              <w:topLinePunct w:val="0"/>
              <w:autoSpaceDE/>
              <w:autoSpaceDN/>
              <w:bidi w:val="0"/>
              <w:adjustRightInd w:val="0"/>
              <w:snapToGrid w:val="0"/>
              <w:spacing w:line="600" w:lineRule="exact"/>
              <w:ind w:firstLine="320" w:firstLineChars="10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①</w:t>
            </w:r>
            <w:r>
              <w:rPr>
                <w:rFonts w:hint="eastAsia" w:ascii="仿宋_GB2312" w:hAnsi="仿宋_GB2312" w:eastAsia="仿宋_GB2312" w:cs="仿宋_GB2312"/>
                <w:b w:val="0"/>
                <w:bCs/>
                <w:color w:val="auto"/>
                <w:sz w:val="32"/>
                <w:szCs w:val="32"/>
                <w:highlight w:val="none"/>
              </w:rPr>
              <w:t xml:space="preserve"> 公式</w:t>
            </w:r>
          </w:p>
          <w:p w14:paraId="74F9A2A1">
            <w:pPr>
              <w:keepNext w:val="0"/>
              <w:keepLines w:val="0"/>
              <w:pageBreakBefore w:val="0"/>
              <w:shd w:val="clear"/>
              <w:kinsoku/>
              <w:wordWrap/>
              <w:overflowPunct/>
              <w:topLinePunct w:val="0"/>
              <w:autoSpaceDE/>
              <w:autoSpaceDN/>
              <w:bidi w:val="0"/>
              <w:adjustRightInd w:val="0"/>
              <w:snapToGrid w:val="0"/>
              <w:spacing w:line="600" w:lineRule="exact"/>
              <w:ind w:firstLine="320" w:firstLineChars="10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②</w:t>
            </w:r>
            <w:r>
              <w:rPr>
                <w:rFonts w:hint="eastAsia" w:ascii="仿宋_GB2312" w:hAnsi="仿宋_GB2312" w:eastAsia="仿宋_GB2312" w:cs="仿宋_GB2312"/>
                <w:b w:val="0"/>
                <w:bCs/>
                <w:color w:val="auto"/>
                <w:sz w:val="32"/>
                <w:szCs w:val="32"/>
                <w:highlight w:val="none"/>
              </w:rPr>
              <w:t xml:space="preserve"> 分步指令</w:t>
            </w:r>
          </w:p>
          <w:p w14:paraId="04AC9EAF">
            <w:pPr>
              <w:keepNext w:val="0"/>
              <w:keepLines w:val="0"/>
              <w:pageBreakBefore w:val="0"/>
              <w:shd w:val="clear"/>
              <w:kinsoku/>
              <w:wordWrap/>
              <w:overflowPunct/>
              <w:topLinePunct w:val="0"/>
              <w:autoSpaceDE/>
              <w:autoSpaceDN/>
              <w:bidi w:val="0"/>
              <w:adjustRightInd w:val="0"/>
              <w:snapToGrid w:val="0"/>
              <w:spacing w:line="600" w:lineRule="exact"/>
              <w:ind w:firstLine="320" w:firstLineChars="10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③</w:t>
            </w:r>
            <w:r>
              <w:rPr>
                <w:rFonts w:hint="eastAsia" w:ascii="仿宋_GB2312" w:hAnsi="仿宋_GB2312" w:eastAsia="仿宋_GB2312" w:cs="仿宋_GB2312"/>
                <w:b w:val="0"/>
                <w:bCs/>
                <w:color w:val="auto"/>
                <w:sz w:val="32"/>
                <w:szCs w:val="32"/>
                <w:highlight w:val="none"/>
              </w:rPr>
              <w:t xml:space="preserve"> 规范要求</w:t>
            </w:r>
          </w:p>
          <w:p w14:paraId="72A79D7B">
            <w:pPr>
              <w:keepNext w:val="0"/>
              <w:keepLines w:val="0"/>
              <w:pageBreakBefore w:val="0"/>
              <w:shd w:val="clear"/>
              <w:kinsoku/>
              <w:wordWrap/>
              <w:overflowPunct/>
              <w:topLinePunct w:val="0"/>
              <w:autoSpaceDE/>
              <w:autoSpaceDN/>
              <w:bidi w:val="0"/>
              <w:adjustRightInd w:val="0"/>
              <w:snapToGrid w:val="0"/>
              <w:spacing w:line="600" w:lineRule="exact"/>
              <w:ind w:firstLine="320" w:firstLineChars="10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④</w:t>
            </w:r>
            <w:r>
              <w:rPr>
                <w:rFonts w:hint="eastAsia" w:ascii="仿宋_GB2312" w:hAnsi="仿宋_GB2312" w:eastAsia="仿宋_GB2312" w:cs="仿宋_GB2312"/>
                <w:b w:val="0"/>
                <w:bCs/>
                <w:color w:val="auto"/>
                <w:sz w:val="32"/>
                <w:szCs w:val="32"/>
                <w:highlight w:val="none"/>
              </w:rPr>
              <w:t xml:space="preserve"> 图表</w:t>
            </w:r>
          </w:p>
          <w:p w14:paraId="56F8340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主动倾听，适当的提问，以完全理解</w:t>
            </w:r>
          </w:p>
          <w:p w14:paraId="3E93D29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使用实验室信息和实验室管理系统，包括数字的和纸面的</w:t>
            </w:r>
          </w:p>
          <w:p w14:paraId="34012EB0">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按照逻辑和相关规定，获取信息和行动</w:t>
            </w:r>
          </w:p>
          <w:p w14:paraId="515B4571">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为了数据呈现，应用分析技术</w:t>
            </w:r>
          </w:p>
          <w:p w14:paraId="3FA485D1">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使用各种文字和图形向他人传递信息</w:t>
            </w:r>
          </w:p>
          <w:p w14:paraId="6F18727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向观众或者受众以适当的科学信息进行沟通</w:t>
            </w:r>
          </w:p>
          <w:p w14:paraId="7D8BAC62">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准备并进行正式或非正式演讲陈述</w:t>
            </w:r>
          </w:p>
          <w:p w14:paraId="522AA0E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z w:val="32"/>
                <w:szCs w:val="32"/>
                <w:highlight w:val="none"/>
              </w:rPr>
              <w:t>• 以恰当的方式，寻求、接受和提供反馈和建设性意见</w:t>
            </w:r>
          </w:p>
        </w:tc>
        <w:tc>
          <w:tcPr>
            <w:tcW w:w="867" w:type="pct"/>
            <w:shd w:val="clear" w:color="auto" w:fill="auto"/>
          </w:tcPr>
          <w:p w14:paraId="18081FA1">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1B86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3D9B2E02">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3</w:t>
            </w:r>
          </w:p>
        </w:tc>
        <w:tc>
          <w:tcPr>
            <w:tcW w:w="3646" w:type="pct"/>
            <w:shd w:val="clear" w:color="auto" w:fill="auto"/>
          </w:tcPr>
          <w:p w14:paraId="54BD49E6">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技巧、步骤和方法</w:t>
            </w:r>
          </w:p>
        </w:tc>
        <w:tc>
          <w:tcPr>
            <w:tcW w:w="867" w:type="pct"/>
            <w:shd w:val="clear" w:color="auto" w:fill="auto"/>
          </w:tcPr>
          <w:p w14:paraId="147FA589">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35</w:t>
            </w:r>
          </w:p>
        </w:tc>
      </w:tr>
      <w:tr w14:paraId="60F1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4526E7C7">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基本知识</w:t>
            </w:r>
          </w:p>
        </w:tc>
        <w:tc>
          <w:tcPr>
            <w:tcW w:w="3646" w:type="pct"/>
            <w:shd w:val="clear" w:color="auto" w:fill="auto"/>
          </w:tcPr>
          <w:p w14:paraId="6213A42A">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有关化学结构和化学键的无机化学基础</w:t>
            </w:r>
          </w:p>
          <w:p w14:paraId="4202F55B">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重要物质和合成物的化学知识</w:t>
            </w:r>
          </w:p>
          <w:p w14:paraId="2A6AF0BA">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有机化学的原理和实践方法</w:t>
            </w:r>
          </w:p>
          <w:p w14:paraId="2B540777">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化学反应机理和功能团转化</w:t>
            </w:r>
          </w:p>
          <w:p w14:paraId="0856C7A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物理化学的概念和实践方法，包括热力学、反应力学、传导性、电化学池、电解</w:t>
            </w:r>
          </w:p>
          <w:p w14:paraId="602B9426">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实验室技术和科学实验原理</w:t>
            </w:r>
          </w:p>
          <w:p w14:paraId="47BF4C49">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项目管理原理，以及如何应用于实验室工作</w:t>
            </w:r>
          </w:p>
          <w:p w14:paraId="5ED453E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分析方法、仪表装置的开发和有效性要求，包括掌握适当的采样方法</w:t>
            </w:r>
          </w:p>
          <w:p w14:paraId="1EAA3204">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z w:val="32"/>
                <w:szCs w:val="32"/>
                <w:highlight w:val="none"/>
              </w:rPr>
              <w:t>• 实验支持的最新趋势，包括使用工具包</w:t>
            </w:r>
          </w:p>
        </w:tc>
        <w:tc>
          <w:tcPr>
            <w:tcW w:w="867" w:type="pct"/>
            <w:shd w:val="clear" w:color="auto" w:fill="auto"/>
          </w:tcPr>
          <w:p w14:paraId="04A4B115">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5464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1E07052D">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工作能力</w:t>
            </w:r>
          </w:p>
        </w:tc>
        <w:tc>
          <w:tcPr>
            <w:tcW w:w="3646" w:type="pct"/>
            <w:shd w:val="clear" w:color="auto" w:fill="auto"/>
          </w:tcPr>
          <w:p w14:paraId="4FA93C17">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使用适当的科学技术技巧、步骤和方法，进行实验室任务的相关准备 </w:t>
            </w:r>
          </w:p>
          <w:p w14:paraId="0D439CA1">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使用指定的仪器和实验室设备，包括必要的校准</w:t>
            </w:r>
          </w:p>
          <w:p w14:paraId="3E65AAF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评估材料或使用产品的品质</w:t>
            </w:r>
          </w:p>
          <w:p w14:paraId="773EEF03">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设计或制作实验装置，开发新产品或新工艺</w:t>
            </w:r>
          </w:p>
          <w:p w14:paraId="4CC312CA">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使用特定的方法，包括标准操作步骤，完成实验室任务</w:t>
            </w:r>
          </w:p>
          <w:p w14:paraId="7BFFFDC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完成特定的采样任务，包括准备、样本的处理，以及从液体和固体混合物中的分离过程</w:t>
            </w:r>
          </w:p>
          <w:p w14:paraId="7F6B579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实施清洗和浓缩工艺，例如：蒸馏、萃取</w:t>
            </w:r>
          </w:p>
          <w:p w14:paraId="469B924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化学分析法，例如：滴定法、体积法、重量法</w:t>
            </w:r>
          </w:p>
          <w:p w14:paraId="796A5EE4">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使用仪器和电分析法，例如：色谱法、光度测定法</w:t>
            </w:r>
          </w:p>
          <w:p w14:paraId="3083A767">
            <w:pPr>
              <w:keepNext w:val="0"/>
              <w:keepLines w:val="0"/>
              <w:pageBreakBefore w:val="0"/>
              <w:shd w:val="clear"/>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设定并进行试验、萃取、测试和分析，使用以下技术:光谱法</w:t>
            </w:r>
            <w:r>
              <w:rPr>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b w:val="0"/>
                <w:bCs/>
                <w:color w:val="auto"/>
                <w:sz w:val="32"/>
                <w:szCs w:val="32"/>
                <w:highlight w:val="none"/>
              </w:rPr>
              <w:t>物理或化学分离技术</w:t>
            </w:r>
          </w:p>
          <w:p w14:paraId="70D47270">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确定有机或无机化合物的结构</w:t>
            </w:r>
          </w:p>
          <w:p w14:paraId="2FF848B1">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有机、无机、高分子化合物合成技术 </w:t>
            </w:r>
          </w:p>
          <w:p w14:paraId="373E7FBA">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对分析程序、方法和设备仪器的有效性需求</w:t>
            </w:r>
          </w:p>
          <w:p w14:paraId="137E0120">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遵照标准化公式，或创建经验公式</w:t>
            </w:r>
          </w:p>
          <w:p w14:paraId="17AC85C3">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制备、处理和准备化学溶液</w:t>
            </w:r>
          </w:p>
        </w:tc>
        <w:tc>
          <w:tcPr>
            <w:tcW w:w="867" w:type="pct"/>
            <w:shd w:val="clear" w:color="auto" w:fill="auto"/>
          </w:tcPr>
          <w:p w14:paraId="25A70C0C">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0D5A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2DB32D0B">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4</w:t>
            </w:r>
          </w:p>
        </w:tc>
        <w:tc>
          <w:tcPr>
            <w:tcW w:w="3646" w:type="pct"/>
            <w:shd w:val="clear" w:color="auto" w:fill="auto"/>
          </w:tcPr>
          <w:p w14:paraId="7ACC27B3">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数据处理和保留记录</w:t>
            </w:r>
          </w:p>
        </w:tc>
        <w:tc>
          <w:tcPr>
            <w:tcW w:w="867" w:type="pct"/>
            <w:shd w:val="clear" w:color="auto" w:fill="auto"/>
          </w:tcPr>
          <w:p w14:paraId="4225D45A">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10</w:t>
            </w:r>
          </w:p>
        </w:tc>
      </w:tr>
      <w:tr w14:paraId="0AF4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1907376A">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基本知识</w:t>
            </w:r>
          </w:p>
        </w:tc>
        <w:tc>
          <w:tcPr>
            <w:tcW w:w="3646" w:type="pct"/>
            <w:shd w:val="clear" w:color="auto" w:fill="auto"/>
          </w:tcPr>
          <w:p w14:paraId="2585C1A0">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保留记录、可追溯性和机密性的相关规定</w:t>
            </w:r>
          </w:p>
          <w:p w14:paraId="72C135F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记录保证其安全的步骤程序，所有使用的表格</w:t>
            </w:r>
          </w:p>
          <w:p w14:paraId="414D4E3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有关记录和显示数据的软件功能</w:t>
            </w:r>
          </w:p>
          <w:p w14:paraId="10CA78E3">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确保信息的准确处理</w:t>
            </w:r>
          </w:p>
          <w:p w14:paraId="7C2177CF">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误差和错误的影响</w:t>
            </w:r>
          </w:p>
          <w:p w14:paraId="08D0920D">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z w:val="32"/>
                <w:szCs w:val="32"/>
                <w:highlight w:val="none"/>
              </w:rPr>
              <w:t>• 参考和引用所需方法</w:t>
            </w:r>
          </w:p>
        </w:tc>
        <w:tc>
          <w:tcPr>
            <w:tcW w:w="867" w:type="pct"/>
            <w:shd w:val="clear" w:color="auto" w:fill="auto"/>
          </w:tcPr>
          <w:p w14:paraId="7E8335C0">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67DC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02ACBC76">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工作能力</w:t>
            </w:r>
          </w:p>
        </w:tc>
        <w:tc>
          <w:tcPr>
            <w:tcW w:w="3646" w:type="pct"/>
            <w:shd w:val="clear" w:color="auto" w:fill="auto"/>
          </w:tcPr>
          <w:p w14:paraId="54D1FCB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对实验室工作进行记录和保留文档，包括使用给定的排版风格、计算机信息技术和统计方法</w:t>
            </w:r>
          </w:p>
          <w:p w14:paraId="72080E37">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处理和收集来自自动化数字机器的数字化信息</w:t>
            </w:r>
          </w:p>
          <w:p w14:paraId="3A265BAB">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制作可信的、精确的数据</w:t>
            </w:r>
          </w:p>
          <w:p w14:paraId="59768261">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以书面和口头形式简洁地呈现实验室工作结果，有效地处理问题</w:t>
            </w:r>
          </w:p>
          <w:p w14:paraId="5F635D34">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书写技术报告，并适当地使用图形和图表</w:t>
            </w:r>
          </w:p>
          <w:p w14:paraId="7EF12E85">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检查自身工作，包括汇编整理、分类、计算、制作表格和完成程度</w:t>
            </w:r>
          </w:p>
          <w:p w14:paraId="42FD94D2">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及时地认识错误、不准确和不足之处</w:t>
            </w:r>
          </w:p>
          <w:p w14:paraId="0BDAEBF3">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整理信息或数据，用于校验或审计</w:t>
            </w:r>
          </w:p>
          <w:p w14:paraId="2BF81E76">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z w:val="32"/>
                <w:szCs w:val="32"/>
                <w:highlight w:val="none"/>
              </w:rPr>
              <w:t>• 文档存档</w:t>
            </w:r>
          </w:p>
        </w:tc>
        <w:tc>
          <w:tcPr>
            <w:tcW w:w="867" w:type="pct"/>
            <w:shd w:val="clear" w:color="auto" w:fill="auto"/>
          </w:tcPr>
          <w:p w14:paraId="70673EA5">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19D2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7FC7667D">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5</w:t>
            </w:r>
          </w:p>
        </w:tc>
        <w:tc>
          <w:tcPr>
            <w:tcW w:w="3646" w:type="pct"/>
            <w:shd w:val="clear" w:color="auto" w:fill="auto"/>
          </w:tcPr>
          <w:p w14:paraId="2503A303">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分析、解读和评估</w:t>
            </w:r>
          </w:p>
        </w:tc>
        <w:tc>
          <w:tcPr>
            <w:tcW w:w="867" w:type="pct"/>
            <w:shd w:val="clear" w:color="auto" w:fill="auto"/>
          </w:tcPr>
          <w:p w14:paraId="5927F2FF">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15</w:t>
            </w:r>
          </w:p>
        </w:tc>
      </w:tr>
      <w:tr w14:paraId="1B8A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77FBA81B">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基本知识</w:t>
            </w:r>
          </w:p>
        </w:tc>
        <w:tc>
          <w:tcPr>
            <w:tcW w:w="3646" w:type="pct"/>
            <w:shd w:val="clear" w:color="auto" w:fill="auto"/>
          </w:tcPr>
          <w:p w14:paraId="1234D920">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质量管理的原则</w:t>
            </w:r>
          </w:p>
          <w:p w14:paraId="50E8D83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生产过程中质量管理的应用</w:t>
            </w:r>
          </w:p>
          <w:p w14:paraId="43F89AAE">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在科学数据分析中运用数学和分析方法</w:t>
            </w:r>
          </w:p>
          <w:p w14:paraId="3338298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误差的本质、可能性、来源，误差的类型</w:t>
            </w:r>
          </w:p>
          <w:p w14:paraId="1995D8B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质量控制的原理和方法</w:t>
            </w:r>
          </w:p>
          <w:p w14:paraId="20990CEE">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持续改进的原理和应用</w:t>
            </w:r>
          </w:p>
          <w:p w14:paraId="6B9569E9">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z w:val="32"/>
                <w:szCs w:val="32"/>
                <w:highlight w:val="none"/>
              </w:rPr>
              <w:t>• 工作角色对心理方面的影响</w:t>
            </w:r>
          </w:p>
        </w:tc>
        <w:tc>
          <w:tcPr>
            <w:tcW w:w="867" w:type="pct"/>
            <w:shd w:val="clear" w:color="auto" w:fill="auto"/>
          </w:tcPr>
          <w:p w14:paraId="7AAF460C">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2168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50D17C9B">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工作能力</w:t>
            </w:r>
          </w:p>
        </w:tc>
        <w:tc>
          <w:tcPr>
            <w:tcW w:w="3646" w:type="pct"/>
            <w:shd w:val="clear" w:color="auto" w:fill="auto"/>
          </w:tcPr>
          <w:p w14:paraId="6715B4B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保持良好的动觉和运动技能</w:t>
            </w:r>
          </w:p>
          <w:p w14:paraId="334C2B97">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应用个人方法，保持持续的关注和精力集中</w:t>
            </w:r>
          </w:p>
          <w:p w14:paraId="0498DA41">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遵照相关步骤，符合工作场所的质量标准</w:t>
            </w:r>
          </w:p>
          <w:p w14:paraId="09ED7C3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分析、解读和评估数据，识别需要深入调查的结果</w:t>
            </w:r>
          </w:p>
          <w:p w14:paraId="62619DCB">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评估信息，确定是否符合标准</w:t>
            </w:r>
          </w:p>
          <w:p w14:paraId="25CB09D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在工作角色职责范围内独立开展工作</w:t>
            </w:r>
          </w:p>
          <w:p w14:paraId="60607693">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识别使用的分析方法得出结果的含义，并判断其重要性</w:t>
            </w:r>
          </w:p>
          <w:p w14:paraId="5AB6AE34">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使用适当的计算、统计和数学方法，或公式对问题进行求解</w:t>
            </w:r>
          </w:p>
          <w:p w14:paraId="4B7739E5">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z w:val="32"/>
                <w:szCs w:val="32"/>
                <w:highlight w:val="none"/>
              </w:rPr>
              <w:t>• 通过分析基本原理、推论或结果，确定结果</w:t>
            </w:r>
          </w:p>
        </w:tc>
        <w:tc>
          <w:tcPr>
            <w:tcW w:w="867" w:type="pct"/>
            <w:shd w:val="clear" w:color="auto" w:fill="auto"/>
          </w:tcPr>
          <w:p w14:paraId="6B5F8ADF">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4C57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5FEADFFF">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6</w:t>
            </w:r>
          </w:p>
        </w:tc>
        <w:tc>
          <w:tcPr>
            <w:tcW w:w="3646" w:type="pct"/>
            <w:shd w:val="clear" w:color="auto" w:fill="auto"/>
          </w:tcPr>
          <w:p w14:paraId="5C35F9A4">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应用科学方法解决问题</w:t>
            </w:r>
          </w:p>
        </w:tc>
        <w:tc>
          <w:tcPr>
            <w:tcW w:w="867" w:type="pct"/>
            <w:shd w:val="clear" w:color="auto" w:fill="auto"/>
          </w:tcPr>
          <w:p w14:paraId="6E6BB4BC">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10</w:t>
            </w:r>
          </w:p>
        </w:tc>
      </w:tr>
      <w:tr w14:paraId="1C36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6922C738">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基本知识</w:t>
            </w:r>
          </w:p>
        </w:tc>
        <w:tc>
          <w:tcPr>
            <w:tcW w:w="3646" w:type="pct"/>
            <w:shd w:val="clear" w:color="auto" w:fill="auto"/>
          </w:tcPr>
          <w:p w14:paraId="6FA51F62">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运用科学原理和方法解决问题的原理和应用方法</w:t>
            </w:r>
          </w:p>
          <w:p w14:paraId="60101367">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批判性思维的原理和复杂问题的解决</w:t>
            </w:r>
          </w:p>
          <w:p w14:paraId="391A19BA">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z w:val="32"/>
                <w:szCs w:val="32"/>
                <w:highlight w:val="none"/>
              </w:rPr>
              <w:t>• 自身角色的范围和局限，以及其对解决问题的理解和专业知识</w:t>
            </w:r>
          </w:p>
        </w:tc>
        <w:tc>
          <w:tcPr>
            <w:tcW w:w="867" w:type="pct"/>
            <w:shd w:val="clear" w:color="auto" w:fill="auto"/>
          </w:tcPr>
          <w:p w14:paraId="1961A5E5">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6108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01E2396D">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工作能力</w:t>
            </w:r>
          </w:p>
        </w:tc>
        <w:tc>
          <w:tcPr>
            <w:tcW w:w="3646" w:type="pct"/>
            <w:shd w:val="clear" w:color="auto" w:fill="auto"/>
          </w:tcPr>
          <w:p w14:paraId="2CED6D31">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当可能出现问题或疑似问题时正确认知</w:t>
            </w:r>
          </w:p>
          <w:p w14:paraId="74B72943">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大量和干扰性材料的识别和察觉</w:t>
            </w:r>
          </w:p>
          <w:p w14:paraId="2F05A65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应用适当的科学方法，识别原因并获得解决方法</w:t>
            </w:r>
          </w:p>
          <w:p w14:paraId="037CCCD0">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val="0"/>
                <w:bCs/>
                <w:color w:val="auto"/>
                <w:sz w:val="32"/>
                <w:szCs w:val="32"/>
                <w:highlight w:val="none"/>
              </w:rPr>
              <w:t>• 使用逻辑和推理，认识替代解决方法的优点和弱点，得出结论，或解决问题的途径，例如</w:t>
            </w:r>
            <w:r>
              <w:rPr>
                <w:rFonts w:hint="eastAsia" w:ascii="仿宋_GB2312" w:hAnsi="仿宋_GB2312" w:eastAsia="仿宋_GB2312" w:cs="仿宋_GB2312"/>
                <w:b w:val="0"/>
                <w:bCs/>
                <w:color w:val="auto"/>
                <w:sz w:val="32"/>
                <w:szCs w:val="32"/>
                <w:highlight w:val="none"/>
                <w:lang w:eastAsia="zh-CN"/>
              </w:rPr>
              <w:t>：</w:t>
            </w:r>
          </w:p>
          <w:p w14:paraId="013F8A07">
            <w:pPr>
              <w:keepNext w:val="0"/>
              <w:keepLines w:val="0"/>
              <w:pageBreakBefore w:val="0"/>
              <w:kinsoku/>
              <w:wordWrap/>
              <w:overflowPunct/>
              <w:topLinePunct w:val="0"/>
              <w:autoSpaceDE/>
              <w:autoSpaceDN/>
              <w:bidi w:val="0"/>
              <w:adjustRightInd w:val="0"/>
              <w:snapToGrid w:val="0"/>
              <w:spacing w:line="600" w:lineRule="exact"/>
              <w:ind w:firstLine="320" w:firstLineChars="10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①</w:t>
            </w:r>
            <w:r>
              <w:rPr>
                <w:rFonts w:hint="eastAsia" w:ascii="仿宋_GB2312" w:hAnsi="仿宋_GB2312" w:eastAsia="仿宋_GB2312" w:cs="仿宋_GB2312"/>
                <w:b w:val="0"/>
                <w:bCs/>
                <w:color w:val="auto"/>
                <w:sz w:val="32"/>
                <w:szCs w:val="32"/>
                <w:highlight w:val="none"/>
              </w:rPr>
              <w:t xml:space="preserve"> 应用通用规则，就特定的事项得出可信的结论</w:t>
            </w:r>
          </w:p>
          <w:p w14:paraId="7F8395F6">
            <w:pPr>
              <w:keepNext w:val="0"/>
              <w:keepLines w:val="0"/>
              <w:pageBreakBefore w:val="0"/>
              <w:kinsoku/>
              <w:wordWrap/>
              <w:overflowPunct/>
              <w:topLinePunct w:val="0"/>
              <w:autoSpaceDE/>
              <w:autoSpaceDN/>
              <w:bidi w:val="0"/>
              <w:adjustRightInd w:val="0"/>
              <w:snapToGrid w:val="0"/>
              <w:spacing w:line="600" w:lineRule="exact"/>
              <w:ind w:firstLine="320" w:firstLineChars="100"/>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②</w:t>
            </w:r>
            <w:r>
              <w:rPr>
                <w:rFonts w:hint="eastAsia" w:ascii="仿宋_GB2312" w:hAnsi="仿宋_GB2312" w:eastAsia="仿宋_GB2312" w:cs="仿宋_GB2312"/>
                <w:b w:val="0"/>
                <w:bCs/>
                <w:color w:val="auto"/>
                <w:sz w:val="32"/>
                <w:szCs w:val="32"/>
                <w:highlight w:val="none"/>
              </w:rPr>
              <w:t xml:space="preserve"> 合并汇总不同的信息，形成可信的结论或判断</w:t>
            </w:r>
          </w:p>
          <w:p w14:paraId="2558E932">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应用创造性思维和问题求解，挑战假设、创造，基于现有的观点的基础上，提供新的提议</w:t>
            </w:r>
          </w:p>
          <w:p w14:paraId="16A5A7AB">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向资深的同事以适当的方式寻求建议</w:t>
            </w:r>
          </w:p>
          <w:p w14:paraId="63FF3245">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提出建议或科学的解决方法，改进工作流程</w:t>
            </w:r>
          </w:p>
          <w:p w14:paraId="68792A98">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为新的调查提供支持，并就常规和非常规分析任务实验进行跟踪</w:t>
            </w:r>
          </w:p>
          <w:p w14:paraId="0E334EE7">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积极寻求个人发展、积极进行学习和自我提升</w:t>
            </w:r>
          </w:p>
        </w:tc>
        <w:tc>
          <w:tcPr>
            <w:tcW w:w="867" w:type="pct"/>
            <w:shd w:val="clear" w:color="auto" w:fill="auto"/>
          </w:tcPr>
          <w:p w14:paraId="406D9472">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30EF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2EF2F95E">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shd w:val="pct10" w:color="auto" w:fill="FFFFFF"/>
              </w:rPr>
            </w:pPr>
            <w:r>
              <w:rPr>
                <w:rFonts w:hint="eastAsia" w:ascii="仿宋_GB2312" w:hAnsi="仿宋_GB2312" w:eastAsia="仿宋_GB2312" w:cs="仿宋_GB2312"/>
                <w:b w:val="0"/>
                <w:bCs/>
                <w:color w:val="auto"/>
                <w:spacing w:val="1"/>
                <w:sz w:val="32"/>
                <w:szCs w:val="32"/>
                <w:highlight w:val="none"/>
              </w:rPr>
              <w:t>7</w:t>
            </w:r>
          </w:p>
        </w:tc>
        <w:tc>
          <w:tcPr>
            <w:tcW w:w="3646" w:type="pct"/>
            <w:shd w:val="clear" w:color="auto" w:fill="auto"/>
          </w:tcPr>
          <w:p w14:paraId="40F1AE2E">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应用化学的趋势</w:t>
            </w:r>
          </w:p>
        </w:tc>
        <w:tc>
          <w:tcPr>
            <w:tcW w:w="867" w:type="pct"/>
            <w:shd w:val="clear" w:color="auto" w:fill="auto"/>
          </w:tcPr>
          <w:p w14:paraId="30B6169D">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10</w:t>
            </w:r>
          </w:p>
        </w:tc>
      </w:tr>
      <w:tr w14:paraId="0963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0E596ABE">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基本知识</w:t>
            </w:r>
          </w:p>
        </w:tc>
        <w:tc>
          <w:tcPr>
            <w:tcW w:w="3646" w:type="pct"/>
            <w:shd w:val="clear" w:color="auto" w:fill="auto"/>
          </w:tcPr>
          <w:p w14:paraId="6FD2424E">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跨学科的科学规律</w:t>
            </w:r>
          </w:p>
          <w:p w14:paraId="7155F960">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在科学发展中应用化学的角色</w:t>
            </w:r>
          </w:p>
          <w:p w14:paraId="6A767DE1">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数字化的不断增长的影响</w:t>
            </w:r>
          </w:p>
          <w:p w14:paraId="54471B07">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可持续发展日益增加的重要性</w:t>
            </w:r>
          </w:p>
          <w:p w14:paraId="1B1D0345">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新的可能发生的事所衍生的新的职业道德问题</w:t>
            </w:r>
          </w:p>
        </w:tc>
        <w:tc>
          <w:tcPr>
            <w:tcW w:w="867" w:type="pct"/>
            <w:shd w:val="clear" w:color="auto" w:fill="auto"/>
          </w:tcPr>
          <w:p w14:paraId="60C7F5D9">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17DC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shd w:val="clear" w:color="auto" w:fill="auto"/>
            <w:vAlign w:val="center"/>
          </w:tcPr>
          <w:p w14:paraId="68DCF77D">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工作能力</w:t>
            </w:r>
          </w:p>
        </w:tc>
        <w:tc>
          <w:tcPr>
            <w:tcW w:w="3646" w:type="pct"/>
            <w:shd w:val="clear" w:color="auto" w:fill="auto"/>
          </w:tcPr>
          <w:p w14:paraId="6124D54B">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安装、试运行和测试自动化实验室系统</w:t>
            </w:r>
          </w:p>
          <w:p w14:paraId="02ED30B0">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安装和配置程序</w:t>
            </w:r>
          </w:p>
          <w:p w14:paraId="3980752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开发简单的程序</w:t>
            </w:r>
          </w:p>
          <w:p w14:paraId="309C52CE">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自动化实验室系统</w:t>
            </w:r>
          </w:p>
          <w:p w14:paraId="37DF6E9D">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对自动化实验室系统的优化、调整和变更</w:t>
            </w:r>
          </w:p>
          <w:p w14:paraId="0CB9E27B">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维护和保养自动化实验室系统</w:t>
            </w:r>
          </w:p>
          <w:p w14:paraId="3BAFAE98">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能系统性的搜索、确定故障位置，消除自动化实验室系统的错误、缺陷和故障</w:t>
            </w:r>
          </w:p>
          <w:p w14:paraId="47B074EE">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z w:val="32"/>
                <w:szCs w:val="32"/>
                <w:highlight w:val="none"/>
              </w:rPr>
              <w:t>• 对于变更进行适当调整，并对管理流程进行相应调整</w:t>
            </w:r>
          </w:p>
        </w:tc>
        <w:tc>
          <w:tcPr>
            <w:tcW w:w="867" w:type="pct"/>
            <w:shd w:val="clear" w:color="auto" w:fill="auto"/>
          </w:tcPr>
          <w:p w14:paraId="7C770ECE">
            <w:pPr>
              <w:keepNext w:val="0"/>
              <w:keepLines w:val="0"/>
              <w:pageBreakBefore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b w:val="0"/>
                <w:bCs/>
                <w:color w:val="auto"/>
                <w:spacing w:val="1"/>
                <w:sz w:val="32"/>
                <w:szCs w:val="32"/>
                <w:highlight w:val="none"/>
              </w:rPr>
            </w:pPr>
          </w:p>
        </w:tc>
      </w:tr>
      <w:tr w14:paraId="264C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2" w:type="pct"/>
            <w:gridSpan w:val="2"/>
            <w:shd w:val="clear" w:color="auto" w:fill="auto"/>
          </w:tcPr>
          <w:p w14:paraId="553825DE">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合计</w:t>
            </w:r>
          </w:p>
        </w:tc>
        <w:tc>
          <w:tcPr>
            <w:tcW w:w="867" w:type="pct"/>
            <w:shd w:val="clear" w:color="auto" w:fill="auto"/>
          </w:tcPr>
          <w:p w14:paraId="0E755488">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color w:val="auto"/>
                <w:spacing w:val="1"/>
                <w:sz w:val="32"/>
                <w:szCs w:val="32"/>
                <w:highlight w:val="none"/>
              </w:rPr>
            </w:pPr>
            <w:r>
              <w:rPr>
                <w:rFonts w:hint="eastAsia" w:ascii="仿宋_GB2312" w:hAnsi="仿宋_GB2312" w:eastAsia="仿宋_GB2312" w:cs="仿宋_GB2312"/>
                <w:b w:val="0"/>
                <w:bCs/>
                <w:color w:val="auto"/>
                <w:spacing w:val="1"/>
                <w:sz w:val="32"/>
                <w:szCs w:val="32"/>
                <w:highlight w:val="none"/>
              </w:rPr>
              <w:t>100</w:t>
            </w:r>
          </w:p>
        </w:tc>
      </w:tr>
    </w:tbl>
    <w:p w14:paraId="7CC26E20">
      <w:pPr>
        <w:pStyle w:val="4"/>
        <w:pageBreakBefore w:val="0"/>
        <w:widowControl w:val="0"/>
        <w:kinsoku/>
        <w:wordWrap/>
        <w:overflowPunct/>
        <w:topLinePunct w:val="0"/>
        <w:autoSpaceDE/>
        <w:autoSpaceDN/>
        <w:bidi w:val="0"/>
        <w:adjustRightInd w:val="0"/>
        <w:snapToGrid w:val="0"/>
        <w:spacing w:beforeAutospacing="0" w:afterAutospacing="0" w:line="600" w:lineRule="exact"/>
        <w:ind w:left="640"/>
        <w:textAlignment w:val="auto"/>
        <w:rPr>
          <w:rFonts w:hint="eastAsia" w:ascii="黑体" w:hAnsi="黑体" w:eastAsia="黑体" w:cs="黑体"/>
          <w:b w:val="0"/>
          <w:bCs/>
          <w:color w:val="auto"/>
          <w:sz w:val="32"/>
          <w:szCs w:val="32"/>
          <w:highlight w:val="none"/>
        </w:rPr>
      </w:pPr>
      <w:bookmarkStart w:id="8" w:name="_Toc20161"/>
    </w:p>
    <w:p w14:paraId="2F42B306">
      <w:pPr>
        <w:pStyle w:val="4"/>
        <w:pageBreakBefore w:val="0"/>
        <w:widowControl w:val="0"/>
        <w:kinsoku/>
        <w:wordWrap/>
        <w:overflowPunct/>
        <w:topLinePunct w:val="0"/>
        <w:autoSpaceDE/>
        <w:autoSpaceDN/>
        <w:bidi w:val="0"/>
        <w:adjustRightInd w:val="0"/>
        <w:snapToGrid w:val="0"/>
        <w:spacing w:beforeAutospacing="0" w:afterAutospacing="0" w:line="600" w:lineRule="exact"/>
        <w:ind w:left="640"/>
        <w:textAlignment w:val="auto"/>
        <w:rPr>
          <w:rFonts w:hint="eastAsia" w:ascii="仿宋" w:hAnsi="仿宋" w:eastAsia="仿宋" w:cs="仿宋"/>
          <w:color w:val="auto"/>
          <w:sz w:val="32"/>
          <w:szCs w:val="32"/>
          <w:highlight w:val="none"/>
        </w:rPr>
      </w:pPr>
      <w:r>
        <w:rPr>
          <w:rFonts w:hint="eastAsia" w:ascii="黑体" w:hAnsi="黑体" w:eastAsia="黑体" w:cs="黑体"/>
          <w:b w:val="0"/>
          <w:bCs/>
          <w:color w:val="auto"/>
          <w:sz w:val="32"/>
          <w:szCs w:val="32"/>
          <w:highlight w:val="none"/>
        </w:rPr>
        <w:t>二、试题与评判标准</w:t>
      </w:r>
      <w:bookmarkEnd w:id="8"/>
    </w:p>
    <w:p w14:paraId="78B5B767">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9" w:name="_Toc28968"/>
      <w:r>
        <w:rPr>
          <w:rFonts w:hint="eastAsia" w:ascii="楷体" w:hAnsi="楷体" w:eastAsia="楷体" w:cs="楷体"/>
          <w:b/>
          <w:bCs/>
          <w:color w:val="auto"/>
          <w:kern w:val="2"/>
          <w:sz w:val="32"/>
          <w:szCs w:val="32"/>
          <w:highlight w:val="none"/>
          <w:lang w:val="en-US" w:eastAsia="zh-CN" w:bidi="ar-SA"/>
        </w:rPr>
        <w:t>（一）试题</w:t>
      </w:r>
      <w:bookmarkEnd w:id="9"/>
    </w:p>
    <w:p w14:paraId="2FC4F19A">
      <w:pPr>
        <w:pageBreakBefore w:val="0"/>
        <w:widowControl w:val="0"/>
        <w:kinsoku/>
        <w:wordWrap/>
        <w:overflowPunct/>
        <w:topLinePunct w:val="0"/>
        <w:autoSpaceDE/>
        <w:autoSpaceDN/>
        <w:bidi w:val="0"/>
        <w:adjustRightInd w:val="0"/>
        <w:snapToGrid w:val="0"/>
        <w:spacing w:line="600" w:lineRule="exact"/>
        <w:ind w:firstLine="652" w:firstLineChars="200"/>
        <w:textAlignment w:val="auto"/>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3"/>
          <w:position w:val="2"/>
          <w:sz w:val="32"/>
          <w:szCs w:val="32"/>
          <w:highlight w:val="none"/>
        </w:rPr>
        <w:t>1</w:t>
      </w:r>
      <w:r>
        <w:rPr>
          <w:rFonts w:hint="eastAsia" w:ascii="仿宋_GB2312" w:hAnsi="仿宋_GB2312" w:eastAsia="仿宋_GB2312" w:cs="仿宋_GB2312"/>
          <w:color w:val="auto"/>
          <w:spacing w:val="2"/>
          <w:position w:val="2"/>
          <w:sz w:val="32"/>
          <w:szCs w:val="32"/>
          <w:highlight w:val="none"/>
        </w:rPr>
        <w:t>.基本内容</w:t>
      </w:r>
    </w:p>
    <w:p w14:paraId="7DF4941E">
      <w:pPr>
        <w:pageBreakBefore w:val="0"/>
        <w:widowControl w:val="0"/>
        <w:kinsoku/>
        <w:wordWrap/>
        <w:overflowPunct/>
        <w:topLinePunct w:val="0"/>
        <w:autoSpaceDE/>
        <w:autoSpaceDN/>
        <w:bidi w:val="0"/>
        <w:adjustRightInd w:val="0"/>
        <w:snapToGrid w:val="0"/>
        <w:spacing w:line="600" w:lineRule="exact"/>
        <w:ind w:firstLine="644"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
          <w:sz w:val="32"/>
          <w:szCs w:val="32"/>
          <w:highlight w:val="none"/>
        </w:rPr>
        <w:t>化学实验室技术项目</w:t>
      </w:r>
      <w:r>
        <w:rPr>
          <w:rFonts w:hint="eastAsia" w:ascii="仿宋_GB2312" w:hAnsi="仿宋_GB2312" w:eastAsia="仿宋_GB2312" w:cs="仿宋_GB2312"/>
          <w:color w:val="auto"/>
          <w:sz w:val="32"/>
          <w:szCs w:val="32"/>
          <w:highlight w:val="none"/>
        </w:rPr>
        <w:t>包含4个竞赛模块：</w:t>
      </w:r>
    </w:p>
    <w:p w14:paraId="39CA431F">
      <w:pPr>
        <w:pageBreakBefore w:val="0"/>
        <w:widowControl w:val="0"/>
        <w:kinsoku/>
        <w:wordWrap/>
        <w:overflowPunct/>
        <w:topLinePunct w:val="0"/>
        <w:autoSpaceDE/>
        <w:autoSpaceDN/>
        <w:bidi w:val="0"/>
        <w:adjustRightInd w:val="0"/>
        <w:snapToGrid w:val="0"/>
        <w:spacing w:line="600" w:lineRule="exact"/>
        <w:ind w:firstLine="660" w:firstLineChars="200"/>
        <w:textAlignment w:val="auto"/>
        <w:rPr>
          <w:rFonts w:hint="eastAsia" w:ascii="仿宋_GB2312" w:hAnsi="仿宋_GB2312" w:eastAsia="仿宋_GB2312" w:cs="仿宋_GB2312"/>
          <w:color w:val="auto"/>
          <w:spacing w:val="5"/>
          <w:sz w:val="32"/>
          <w:szCs w:val="32"/>
          <w:highlight w:val="none"/>
        </w:rPr>
      </w:pPr>
      <w:r>
        <w:rPr>
          <w:rFonts w:hint="eastAsia" w:ascii="仿宋_GB2312" w:hAnsi="仿宋_GB2312" w:eastAsia="仿宋_GB2312" w:cs="仿宋_GB2312"/>
          <w:color w:val="auto"/>
          <w:spacing w:val="5"/>
          <w:sz w:val="32"/>
          <w:szCs w:val="32"/>
          <w:highlight w:val="none"/>
        </w:rPr>
        <w:t>模块A：化学分析法测定样品中</w:t>
      </w:r>
      <w:r>
        <w:rPr>
          <w:rFonts w:hint="eastAsia" w:ascii="仿宋_GB2312" w:hAnsi="仿宋_GB2312" w:eastAsia="仿宋_GB2312" w:cs="仿宋_GB2312"/>
          <w:color w:val="auto"/>
          <w:spacing w:val="5"/>
          <w:sz w:val="32"/>
          <w:szCs w:val="32"/>
          <w:highlight w:val="none"/>
          <w:lang w:val="en-US" w:eastAsia="zh-CN"/>
        </w:rPr>
        <w:t>的</w:t>
      </w:r>
      <w:r>
        <w:rPr>
          <w:rFonts w:hint="eastAsia" w:ascii="仿宋_GB2312" w:hAnsi="仿宋_GB2312" w:eastAsia="仿宋_GB2312" w:cs="仿宋_GB2312"/>
          <w:color w:val="auto"/>
          <w:spacing w:val="5"/>
          <w:sz w:val="32"/>
          <w:szCs w:val="32"/>
          <w:highlight w:val="none"/>
        </w:rPr>
        <w:t xml:space="preserve">组分含量 </w:t>
      </w:r>
    </w:p>
    <w:p w14:paraId="44346FFF">
      <w:pPr>
        <w:pageBreakBefore w:val="0"/>
        <w:widowControl w:val="0"/>
        <w:kinsoku/>
        <w:wordWrap/>
        <w:overflowPunct/>
        <w:topLinePunct w:val="0"/>
        <w:autoSpaceDE/>
        <w:autoSpaceDN/>
        <w:bidi w:val="0"/>
        <w:adjustRightInd w:val="0"/>
        <w:snapToGrid w:val="0"/>
        <w:spacing w:line="600" w:lineRule="exact"/>
        <w:ind w:firstLine="660" w:firstLineChars="200"/>
        <w:textAlignment w:val="auto"/>
        <w:rPr>
          <w:rFonts w:hint="eastAsia" w:ascii="仿宋_GB2312" w:hAnsi="仿宋_GB2312" w:eastAsia="仿宋_GB2312" w:cs="仿宋_GB2312"/>
          <w:color w:val="auto"/>
          <w:spacing w:val="5"/>
          <w:sz w:val="32"/>
          <w:szCs w:val="32"/>
          <w:highlight w:val="none"/>
        </w:rPr>
      </w:pPr>
      <w:r>
        <w:rPr>
          <w:rFonts w:hint="eastAsia" w:ascii="仿宋_GB2312" w:hAnsi="仿宋_GB2312" w:eastAsia="仿宋_GB2312" w:cs="仿宋_GB2312"/>
          <w:color w:val="auto"/>
          <w:spacing w:val="5"/>
          <w:sz w:val="32"/>
          <w:szCs w:val="32"/>
          <w:highlight w:val="none"/>
        </w:rPr>
        <w:t>模块B：分光光度法测定样品中</w:t>
      </w:r>
      <w:r>
        <w:rPr>
          <w:rFonts w:hint="eastAsia" w:ascii="仿宋_GB2312" w:hAnsi="仿宋_GB2312" w:eastAsia="仿宋_GB2312" w:cs="仿宋_GB2312"/>
          <w:color w:val="auto"/>
          <w:spacing w:val="5"/>
          <w:sz w:val="32"/>
          <w:szCs w:val="32"/>
          <w:highlight w:val="none"/>
          <w:lang w:val="en-US" w:eastAsia="zh-CN"/>
        </w:rPr>
        <w:t>的</w:t>
      </w:r>
      <w:r>
        <w:rPr>
          <w:rFonts w:hint="eastAsia" w:ascii="仿宋_GB2312" w:hAnsi="仿宋_GB2312" w:eastAsia="仿宋_GB2312" w:cs="仿宋_GB2312"/>
          <w:color w:val="auto"/>
          <w:spacing w:val="5"/>
          <w:sz w:val="32"/>
          <w:szCs w:val="32"/>
          <w:highlight w:val="none"/>
        </w:rPr>
        <w:t>组分含量</w:t>
      </w:r>
    </w:p>
    <w:p w14:paraId="146C8A88">
      <w:pPr>
        <w:pageBreakBefore w:val="0"/>
        <w:widowControl w:val="0"/>
        <w:kinsoku/>
        <w:wordWrap/>
        <w:overflowPunct/>
        <w:topLinePunct w:val="0"/>
        <w:autoSpaceDE/>
        <w:autoSpaceDN/>
        <w:bidi w:val="0"/>
        <w:adjustRightInd w:val="0"/>
        <w:snapToGrid w:val="0"/>
        <w:spacing w:line="600" w:lineRule="exact"/>
        <w:ind w:firstLine="660" w:firstLineChars="200"/>
        <w:textAlignment w:val="auto"/>
        <w:rPr>
          <w:rFonts w:hint="eastAsia" w:ascii="仿宋_GB2312" w:hAnsi="仿宋_GB2312" w:eastAsia="仿宋_GB2312" w:cs="仿宋_GB2312"/>
          <w:color w:val="auto"/>
          <w:spacing w:val="5"/>
          <w:sz w:val="32"/>
          <w:szCs w:val="32"/>
          <w:highlight w:val="none"/>
        </w:rPr>
      </w:pPr>
      <w:r>
        <w:rPr>
          <w:rFonts w:hint="eastAsia" w:ascii="仿宋_GB2312" w:hAnsi="仿宋_GB2312" w:eastAsia="仿宋_GB2312" w:cs="仿宋_GB2312"/>
          <w:color w:val="auto"/>
          <w:spacing w:val="5"/>
          <w:sz w:val="32"/>
          <w:szCs w:val="32"/>
          <w:highlight w:val="none"/>
        </w:rPr>
        <w:t>模块C：电位滴定法测定样品中</w:t>
      </w:r>
      <w:r>
        <w:rPr>
          <w:rFonts w:hint="eastAsia" w:ascii="仿宋_GB2312" w:hAnsi="仿宋_GB2312" w:eastAsia="仿宋_GB2312" w:cs="仿宋_GB2312"/>
          <w:color w:val="auto"/>
          <w:spacing w:val="5"/>
          <w:sz w:val="32"/>
          <w:szCs w:val="32"/>
          <w:highlight w:val="none"/>
          <w:lang w:val="en-US" w:eastAsia="zh-CN"/>
        </w:rPr>
        <w:t>的</w:t>
      </w:r>
      <w:r>
        <w:rPr>
          <w:rFonts w:hint="eastAsia" w:ascii="仿宋_GB2312" w:hAnsi="仿宋_GB2312" w:eastAsia="仿宋_GB2312" w:cs="仿宋_GB2312"/>
          <w:color w:val="auto"/>
          <w:spacing w:val="5"/>
          <w:sz w:val="32"/>
          <w:szCs w:val="32"/>
          <w:highlight w:val="none"/>
        </w:rPr>
        <w:t>组分含量</w:t>
      </w:r>
    </w:p>
    <w:p w14:paraId="05D3378A">
      <w:pPr>
        <w:pageBreakBefore w:val="0"/>
        <w:widowControl w:val="0"/>
        <w:kinsoku/>
        <w:wordWrap/>
        <w:overflowPunct/>
        <w:topLinePunct w:val="0"/>
        <w:autoSpaceDE/>
        <w:autoSpaceDN/>
        <w:bidi w:val="0"/>
        <w:adjustRightInd w:val="0"/>
        <w:snapToGrid w:val="0"/>
        <w:spacing w:line="600" w:lineRule="exact"/>
        <w:ind w:firstLine="660" w:firstLineChars="200"/>
        <w:textAlignment w:val="auto"/>
        <w:rPr>
          <w:rFonts w:hint="eastAsia" w:ascii="仿宋_GB2312" w:hAnsi="仿宋_GB2312" w:eastAsia="仿宋_GB2312" w:cs="仿宋_GB2312"/>
          <w:color w:val="auto"/>
          <w:spacing w:val="5"/>
          <w:sz w:val="32"/>
          <w:szCs w:val="32"/>
          <w:highlight w:val="none"/>
        </w:rPr>
      </w:pPr>
      <w:r>
        <w:rPr>
          <w:rFonts w:hint="eastAsia" w:ascii="仿宋_GB2312" w:hAnsi="仿宋_GB2312" w:eastAsia="仿宋_GB2312" w:cs="仿宋_GB2312"/>
          <w:color w:val="auto"/>
          <w:spacing w:val="5"/>
          <w:sz w:val="32"/>
          <w:szCs w:val="32"/>
          <w:highlight w:val="none"/>
        </w:rPr>
        <w:t>模块D：有机物的合成</w:t>
      </w:r>
    </w:p>
    <w:p w14:paraId="07958230">
      <w:pPr>
        <w:pageBreakBefore w:val="0"/>
        <w:widowControl w:val="0"/>
        <w:kinsoku/>
        <w:wordWrap/>
        <w:overflowPunct/>
        <w:topLinePunct w:val="0"/>
        <w:autoSpaceDE/>
        <w:autoSpaceDN/>
        <w:bidi w:val="0"/>
        <w:adjustRightInd w:val="0"/>
        <w:snapToGrid w:val="0"/>
        <w:spacing w:line="600" w:lineRule="exact"/>
        <w:ind w:left="669"/>
        <w:textAlignment w:val="auto"/>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6"/>
          <w:position w:val="2"/>
          <w:sz w:val="32"/>
          <w:szCs w:val="32"/>
          <w:highlight w:val="none"/>
        </w:rPr>
        <w:t>2.试题命制办法</w:t>
      </w:r>
    </w:p>
    <w:p w14:paraId="06255A86">
      <w:pPr>
        <w:pageBreakBefore w:val="0"/>
        <w:widowControl w:val="0"/>
        <w:kinsoku/>
        <w:wordWrap/>
        <w:overflowPunct/>
        <w:topLinePunct w:val="0"/>
        <w:autoSpaceDE/>
        <w:autoSpaceDN/>
        <w:bidi w:val="0"/>
        <w:adjustRightInd w:val="0"/>
        <w:snapToGrid w:val="0"/>
        <w:spacing w:line="600" w:lineRule="exact"/>
        <w:ind w:left="37" w:right="15" w:firstLine="639"/>
        <w:textAlignment w:val="auto"/>
        <w:rPr>
          <w:rFonts w:hint="eastAsia" w:ascii="仿宋_GB2312" w:hAnsi="仿宋_GB2312" w:eastAsia="仿宋_GB2312" w:cs="仿宋_GB2312"/>
          <w:color w:val="auto"/>
          <w:spacing w:val="16"/>
          <w:sz w:val="32"/>
          <w:szCs w:val="32"/>
          <w:highlight w:val="none"/>
        </w:rPr>
      </w:pPr>
      <w:r>
        <w:rPr>
          <w:rFonts w:hint="eastAsia" w:ascii="仿宋_GB2312" w:hAnsi="仿宋_GB2312" w:eastAsia="仿宋_GB2312" w:cs="仿宋_GB2312"/>
          <w:color w:val="auto"/>
          <w:spacing w:val="16"/>
          <w:sz w:val="32"/>
          <w:szCs w:val="32"/>
          <w:highlight w:val="none"/>
        </w:rPr>
        <w:t>（1）试题命题方式：化</w:t>
      </w:r>
      <w:r>
        <w:rPr>
          <w:rFonts w:hint="eastAsia" w:ascii="仿宋_GB2312" w:hAnsi="仿宋_GB2312" w:eastAsia="仿宋_GB2312" w:cs="仿宋_GB2312"/>
          <w:color w:val="auto"/>
          <w:spacing w:val="8"/>
          <w:sz w:val="32"/>
          <w:szCs w:val="32"/>
          <w:highlight w:val="none"/>
        </w:rPr>
        <w:t>学实验室技术项目命题流程按照《</w:t>
      </w:r>
      <w:r>
        <w:rPr>
          <w:rFonts w:hint="eastAsia" w:ascii="仿宋_GB2312" w:hAnsi="仿宋_GB2312" w:eastAsia="仿宋_GB2312" w:cs="仿宋_GB2312"/>
          <w:color w:val="auto"/>
          <w:spacing w:val="8"/>
          <w:sz w:val="32"/>
          <w:szCs w:val="32"/>
          <w:highlight w:val="none"/>
          <w:lang w:eastAsia="zh-CN"/>
        </w:rPr>
        <w:t>第二届山东</w:t>
      </w:r>
      <w:r>
        <w:rPr>
          <w:rFonts w:hint="eastAsia" w:ascii="仿宋_GB2312" w:hAnsi="仿宋_GB2312" w:eastAsia="仿宋_GB2312" w:cs="仿宋_GB2312"/>
          <w:color w:val="auto"/>
          <w:spacing w:val="8"/>
          <w:sz w:val="32"/>
          <w:szCs w:val="32"/>
          <w:highlight w:val="none"/>
        </w:rPr>
        <w:t>省职业技能大赛竞赛技术规则》的要求进行。</w:t>
      </w:r>
      <w:r>
        <w:rPr>
          <w:rFonts w:hint="eastAsia" w:ascii="仿宋_GB2312" w:hAnsi="仿宋_GB2312" w:eastAsia="仿宋_GB2312" w:cs="仿宋_GB2312"/>
          <w:color w:val="auto"/>
          <w:spacing w:val="16"/>
          <w:sz w:val="32"/>
          <w:szCs w:val="32"/>
          <w:highlight w:val="none"/>
        </w:rPr>
        <w:t xml:space="preserve">竞赛试题考核模块、专业内涵、专业技术支撑随技术文件公开，竞赛试题和评分标准于C-1裁判员培训会议上公开。 </w:t>
      </w:r>
    </w:p>
    <w:p w14:paraId="5B528348">
      <w:pPr>
        <w:pageBreakBefore w:val="0"/>
        <w:widowControl w:val="0"/>
        <w:kinsoku/>
        <w:wordWrap/>
        <w:overflowPunct/>
        <w:topLinePunct w:val="0"/>
        <w:autoSpaceDE/>
        <w:autoSpaceDN/>
        <w:bidi w:val="0"/>
        <w:adjustRightInd w:val="0"/>
        <w:snapToGrid w:val="0"/>
        <w:spacing w:line="600" w:lineRule="exact"/>
        <w:ind w:left="35" w:right="14" w:firstLine="637"/>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16"/>
          <w:sz w:val="32"/>
          <w:szCs w:val="32"/>
          <w:highlight w:val="none"/>
        </w:rPr>
        <w:t>（2）试题命题内容：试题由</w:t>
      </w:r>
      <w:r>
        <w:rPr>
          <w:rFonts w:hint="eastAsia" w:ascii="仿宋_GB2312" w:hAnsi="仿宋_GB2312" w:eastAsia="仿宋_GB2312" w:cs="仿宋_GB2312"/>
          <w:color w:val="auto"/>
          <w:spacing w:val="16"/>
          <w:sz w:val="32"/>
          <w:szCs w:val="32"/>
          <w:highlight w:val="none"/>
          <w:lang w:eastAsia="zh-CN"/>
        </w:rPr>
        <w:t>第二届山东</w:t>
      </w:r>
      <w:r>
        <w:rPr>
          <w:rFonts w:hint="eastAsia" w:ascii="仿宋_GB2312" w:hAnsi="仿宋_GB2312" w:eastAsia="仿宋_GB2312" w:cs="仿宋_GB2312"/>
          <w:color w:val="auto"/>
          <w:spacing w:val="16"/>
          <w:sz w:val="32"/>
          <w:szCs w:val="32"/>
          <w:highlight w:val="none"/>
        </w:rPr>
        <w:t>省职业技能</w:t>
      </w:r>
      <w:r>
        <w:rPr>
          <w:rFonts w:hint="eastAsia" w:ascii="仿宋_GB2312" w:hAnsi="仿宋_GB2312" w:eastAsia="仿宋_GB2312" w:cs="仿宋_GB2312"/>
          <w:color w:val="auto"/>
          <w:spacing w:val="16"/>
          <w:sz w:val="32"/>
          <w:szCs w:val="32"/>
          <w:highlight w:val="none"/>
          <w:lang w:val="en-US" w:eastAsia="zh-CN"/>
        </w:rPr>
        <w:t>大赛</w:t>
      </w:r>
      <w:r>
        <w:rPr>
          <w:rFonts w:hint="eastAsia" w:ascii="仿宋_GB2312" w:hAnsi="仿宋_GB2312" w:eastAsia="仿宋_GB2312" w:cs="仿宋_GB2312"/>
          <w:color w:val="auto"/>
          <w:spacing w:val="16"/>
          <w:sz w:val="32"/>
          <w:szCs w:val="32"/>
          <w:highlight w:val="none"/>
        </w:rPr>
        <w:t>化学实验技术项目裁判长、</w:t>
      </w:r>
      <w:r>
        <w:rPr>
          <w:rFonts w:hint="eastAsia" w:ascii="仿宋_GB2312" w:hAnsi="仿宋_GB2312" w:eastAsia="仿宋_GB2312" w:cs="仿宋_GB2312"/>
          <w:color w:val="auto"/>
          <w:spacing w:val="8"/>
          <w:sz w:val="32"/>
          <w:szCs w:val="32"/>
          <w:highlight w:val="none"/>
        </w:rPr>
        <w:t>技术工作组根据《</w:t>
      </w:r>
      <w:r>
        <w:rPr>
          <w:rFonts w:hint="eastAsia" w:ascii="仿宋_GB2312" w:hAnsi="仿宋_GB2312" w:eastAsia="仿宋_GB2312" w:cs="仿宋_GB2312"/>
          <w:color w:val="auto"/>
          <w:spacing w:val="8"/>
          <w:sz w:val="32"/>
          <w:szCs w:val="32"/>
          <w:highlight w:val="none"/>
          <w:lang w:eastAsia="zh-CN"/>
        </w:rPr>
        <w:t>第二届山东</w:t>
      </w:r>
      <w:r>
        <w:rPr>
          <w:rFonts w:hint="eastAsia" w:ascii="仿宋_GB2312" w:hAnsi="仿宋_GB2312" w:eastAsia="仿宋_GB2312" w:cs="仿宋_GB2312"/>
          <w:color w:val="auto"/>
          <w:spacing w:val="8"/>
          <w:sz w:val="32"/>
          <w:szCs w:val="32"/>
          <w:highlight w:val="none"/>
        </w:rPr>
        <w:t>省职业技能大赛竞赛技术规则》，结</w:t>
      </w:r>
      <w:r>
        <w:rPr>
          <w:rFonts w:hint="eastAsia" w:ascii="仿宋_GB2312" w:hAnsi="仿宋_GB2312" w:eastAsia="仿宋_GB2312" w:cs="仿宋_GB2312"/>
          <w:color w:val="auto"/>
          <w:spacing w:val="14"/>
          <w:sz w:val="32"/>
          <w:szCs w:val="32"/>
          <w:highlight w:val="none"/>
        </w:rPr>
        <w:t>合</w:t>
      </w:r>
      <w:r>
        <w:rPr>
          <w:rFonts w:hint="eastAsia" w:ascii="仿宋_GB2312" w:hAnsi="仿宋_GB2312" w:eastAsia="仿宋_GB2312" w:cs="仿宋_GB2312"/>
          <w:color w:val="auto"/>
          <w:spacing w:val="10"/>
          <w:sz w:val="32"/>
          <w:szCs w:val="32"/>
          <w:highlight w:val="none"/>
        </w:rPr>
        <w:t>承接</w:t>
      </w:r>
      <w:r>
        <w:rPr>
          <w:rFonts w:hint="eastAsia" w:ascii="仿宋_GB2312" w:hAnsi="仿宋_GB2312" w:eastAsia="仿宋_GB2312" w:cs="仿宋_GB2312"/>
          <w:color w:val="auto"/>
          <w:spacing w:val="7"/>
          <w:sz w:val="32"/>
          <w:szCs w:val="32"/>
          <w:highlight w:val="none"/>
        </w:rPr>
        <w:t>地设施设备、工具和耗材</w:t>
      </w:r>
      <w:r>
        <w:rPr>
          <w:rFonts w:hint="eastAsia" w:ascii="仿宋_GB2312" w:hAnsi="仿宋_GB2312" w:eastAsia="仿宋_GB2312" w:cs="仿宋_GB2312"/>
          <w:color w:val="auto"/>
          <w:spacing w:val="16"/>
          <w:sz w:val="32"/>
          <w:szCs w:val="32"/>
          <w:highlight w:val="none"/>
        </w:rPr>
        <w:t>状况独立出题，</w:t>
      </w:r>
      <w:r>
        <w:rPr>
          <w:rFonts w:hint="eastAsia" w:ascii="仿宋_GB2312" w:hAnsi="仿宋_GB2312" w:eastAsia="仿宋_GB2312" w:cs="仿宋_GB2312"/>
          <w:color w:val="auto"/>
          <w:spacing w:val="8"/>
          <w:sz w:val="32"/>
          <w:szCs w:val="32"/>
          <w:highlight w:val="none"/>
        </w:rPr>
        <w:t>并报请</w:t>
      </w:r>
      <w:r>
        <w:rPr>
          <w:rFonts w:hint="eastAsia" w:ascii="仿宋_GB2312" w:hAnsi="仿宋_GB2312" w:eastAsia="仿宋_GB2312" w:cs="仿宋_GB2312"/>
          <w:color w:val="auto"/>
          <w:spacing w:val="8"/>
          <w:sz w:val="32"/>
          <w:szCs w:val="32"/>
          <w:highlight w:val="none"/>
          <w:lang w:eastAsia="zh-CN"/>
        </w:rPr>
        <w:t>第二届山东</w:t>
      </w:r>
      <w:r>
        <w:rPr>
          <w:rFonts w:hint="eastAsia" w:ascii="仿宋_GB2312" w:hAnsi="仿宋_GB2312" w:eastAsia="仿宋_GB2312" w:cs="仿宋_GB2312"/>
          <w:color w:val="auto"/>
          <w:spacing w:val="8"/>
          <w:sz w:val="32"/>
          <w:szCs w:val="32"/>
          <w:highlight w:val="none"/>
        </w:rPr>
        <w:t>省技能大赛组委会办公室技术工作组审核，</w:t>
      </w:r>
      <w:r>
        <w:rPr>
          <w:rFonts w:hint="eastAsia" w:ascii="仿宋_GB2312" w:hAnsi="仿宋_GB2312" w:eastAsia="仿宋_GB2312" w:cs="仿宋_GB2312"/>
          <w:color w:val="auto"/>
          <w:spacing w:val="16"/>
          <w:sz w:val="32"/>
          <w:szCs w:val="32"/>
          <w:highlight w:val="none"/>
        </w:rPr>
        <w:t>裁判长对最终比赛试题签字确认，</w:t>
      </w:r>
      <w:r>
        <w:rPr>
          <w:rFonts w:hint="eastAsia" w:ascii="仿宋_GB2312" w:hAnsi="仿宋_GB2312" w:eastAsia="仿宋_GB2312" w:cs="仿宋_GB2312"/>
          <w:color w:val="auto"/>
          <w:spacing w:val="8"/>
          <w:sz w:val="32"/>
          <w:szCs w:val="32"/>
          <w:highlight w:val="none"/>
        </w:rPr>
        <w:t>命题人对命题内容保密并签订保密协议</w:t>
      </w:r>
      <w:r>
        <w:rPr>
          <w:rFonts w:hint="eastAsia" w:ascii="仿宋_GB2312" w:hAnsi="仿宋_GB2312" w:eastAsia="仿宋_GB2312" w:cs="仿宋_GB2312"/>
          <w:color w:val="auto"/>
          <w:spacing w:val="16"/>
          <w:sz w:val="32"/>
          <w:szCs w:val="32"/>
          <w:highlight w:val="none"/>
        </w:rPr>
        <w:t>书，</w:t>
      </w:r>
      <w:r>
        <w:rPr>
          <w:rFonts w:hint="eastAsia" w:ascii="仿宋_GB2312" w:hAnsi="仿宋_GB2312" w:eastAsia="仿宋_GB2312" w:cs="仿宋_GB2312"/>
          <w:color w:val="auto"/>
          <w:spacing w:val="10"/>
          <w:sz w:val="32"/>
          <w:szCs w:val="32"/>
          <w:highlight w:val="none"/>
        </w:rPr>
        <w:t>试</w:t>
      </w:r>
      <w:r>
        <w:rPr>
          <w:rFonts w:hint="eastAsia" w:ascii="仿宋_GB2312" w:hAnsi="仿宋_GB2312" w:eastAsia="仿宋_GB2312" w:cs="仿宋_GB2312"/>
          <w:color w:val="auto"/>
          <w:spacing w:val="8"/>
          <w:sz w:val="32"/>
          <w:szCs w:val="32"/>
          <w:highlight w:val="none"/>
        </w:rPr>
        <w:t>题的印刷、封存、发放等人员需签订保密协议书。</w:t>
      </w:r>
    </w:p>
    <w:p w14:paraId="4C6B03FA">
      <w:pPr>
        <w:pageBreakBefore w:val="0"/>
        <w:widowControl w:val="0"/>
        <w:kinsoku/>
        <w:wordWrap/>
        <w:overflowPunct/>
        <w:topLinePunct w:val="0"/>
        <w:autoSpaceDE/>
        <w:autoSpaceDN/>
        <w:bidi w:val="0"/>
        <w:adjustRightInd w:val="0"/>
        <w:snapToGrid w:val="0"/>
        <w:spacing w:line="600" w:lineRule="exact"/>
        <w:ind w:left="35" w:right="14" w:firstLine="637"/>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3.命题方案</w:t>
      </w:r>
    </w:p>
    <w:p w14:paraId="595A1AD7">
      <w:pPr>
        <w:pageBreakBefore w:val="0"/>
        <w:widowControl w:val="0"/>
        <w:kinsoku/>
        <w:wordWrap/>
        <w:overflowPunct/>
        <w:topLinePunct w:val="0"/>
        <w:autoSpaceDE/>
        <w:autoSpaceDN/>
        <w:bidi w:val="0"/>
        <w:adjustRightInd w:val="0"/>
        <w:snapToGrid w:val="0"/>
        <w:spacing w:line="600" w:lineRule="exact"/>
        <w:ind w:left="35" w:right="14" w:firstLine="637"/>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（1）每个模块的试题均有明确的题干；</w:t>
      </w:r>
    </w:p>
    <w:p w14:paraId="13CAB5C3">
      <w:pPr>
        <w:pageBreakBefore w:val="0"/>
        <w:widowControl w:val="0"/>
        <w:kinsoku/>
        <w:wordWrap/>
        <w:overflowPunct/>
        <w:topLinePunct w:val="0"/>
        <w:autoSpaceDE/>
        <w:autoSpaceDN/>
        <w:bidi w:val="0"/>
        <w:adjustRightInd w:val="0"/>
        <w:snapToGrid w:val="0"/>
        <w:spacing w:line="600" w:lineRule="exact"/>
        <w:ind w:left="35" w:right="14" w:firstLine="637"/>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（2）每个竞赛模块均有实验操作及竞赛要求；</w:t>
      </w:r>
    </w:p>
    <w:p w14:paraId="45A58DC4">
      <w:pPr>
        <w:pageBreakBefore w:val="0"/>
        <w:widowControl w:val="0"/>
        <w:kinsoku/>
        <w:wordWrap/>
        <w:overflowPunct/>
        <w:topLinePunct w:val="0"/>
        <w:autoSpaceDE/>
        <w:autoSpaceDN/>
        <w:bidi w:val="0"/>
        <w:adjustRightInd w:val="0"/>
        <w:snapToGrid w:val="0"/>
        <w:spacing w:line="600" w:lineRule="exact"/>
        <w:ind w:left="35" w:right="14" w:firstLine="637"/>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（3）条件性实验要求选手首先根据实验描述和实验原理设计操作方案，然后依据方案进行操作；</w:t>
      </w:r>
    </w:p>
    <w:p w14:paraId="781597F8">
      <w:pPr>
        <w:pageBreakBefore w:val="0"/>
        <w:widowControl w:val="0"/>
        <w:kinsoku/>
        <w:wordWrap/>
        <w:overflowPunct/>
        <w:topLinePunct w:val="0"/>
        <w:autoSpaceDE/>
        <w:autoSpaceDN/>
        <w:bidi w:val="0"/>
        <w:adjustRightInd w:val="0"/>
        <w:snapToGrid w:val="0"/>
        <w:spacing w:line="600" w:lineRule="exact"/>
        <w:ind w:left="35" w:right="14" w:firstLine="637"/>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（4）指定性实验有明确的操作步骤。</w:t>
      </w:r>
    </w:p>
    <w:p w14:paraId="4AC7DB44">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10" w:name="_Toc20623"/>
      <w:r>
        <w:rPr>
          <w:rFonts w:hint="eastAsia" w:ascii="楷体" w:hAnsi="楷体" w:eastAsia="楷体" w:cs="楷体"/>
          <w:b/>
          <w:bCs/>
          <w:color w:val="auto"/>
          <w:kern w:val="2"/>
          <w:sz w:val="32"/>
          <w:szCs w:val="32"/>
          <w:highlight w:val="none"/>
          <w:lang w:val="en-US" w:eastAsia="zh-CN" w:bidi="ar-SA"/>
        </w:rPr>
        <w:t>（二）比赛时间及试题具体内容</w:t>
      </w:r>
      <w:bookmarkEnd w:id="10"/>
    </w:p>
    <w:p w14:paraId="5CD2B63E">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1.比赛时间安排</w:t>
      </w:r>
    </w:p>
    <w:p w14:paraId="24BC2824">
      <w:pPr>
        <w:pageBreakBefore w:val="0"/>
        <w:widowControl w:val="0"/>
        <w:kinsoku/>
        <w:wordWrap/>
        <w:overflowPunct/>
        <w:topLinePunct w:val="0"/>
        <w:autoSpaceDE/>
        <w:autoSpaceDN/>
        <w:bidi w:val="0"/>
        <w:adjustRightInd w:val="0"/>
        <w:snapToGrid w:val="0"/>
        <w:spacing w:line="600" w:lineRule="exact"/>
        <w:ind w:left="35" w:right="14" w:firstLine="637"/>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化学实验室技术项目竞赛总时间为</w:t>
      </w:r>
      <w:r>
        <w:rPr>
          <w:rFonts w:hint="eastAsia" w:ascii="仿宋_GB2312" w:hAnsi="仿宋_GB2312" w:eastAsia="仿宋_GB2312" w:cs="仿宋_GB2312"/>
          <w:color w:val="auto"/>
          <w:spacing w:val="8"/>
          <w:sz w:val="32"/>
          <w:szCs w:val="32"/>
          <w:highlight w:val="none"/>
          <w:lang w:val="en-US" w:eastAsia="zh-CN"/>
          <w:woUserID w:val="1"/>
        </w:rPr>
        <w:t>720min</w:t>
      </w:r>
      <w:r>
        <w:rPr>
          <w:rFonts w:hint="eastAsia" w:ascii="仿宋_GB2312" w:hAnsi="仿宋_GB2312" w:eastAsia="仿宋_GB2312" w:cs="仿宋_GB2312"/>
          <w:color w:val="auto"/>
          <w:spacing w:val="8"/>
          <w:sz w:val="32"/>
          <w:szCs w:val="32"/>
          <w:highlight w:val="none"/>
        </w:rPr>
        <w:t>。各模块比赛时间如下表。</w:t>
      </w:r>
    </w:p>
    <w:p w14:paraId="37E17F97">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表2 化学实验室技术项目竞赛时间安排</w:t>
      </w:r>
    </w:p>
    <w:tbl>
      <w:tblPr>
        <w:tblStyle w:val="15"/>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5035"/>
        <w:gridCol w:w="1583"/>
        <w:gridCol w:w="1360"/>
      </w:tblGrid>
      <w:tr w14:paraId="7EC6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7D59960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模块编号</w:t>
            </w:r>
          </w:p>
        </w:tc>
        <w:tc>
          <w:tcPr>
            <w:tcW w:w="5035" w:type="dxa"/>
            <w:vAlign w:val="center"/>
          </w:tcPr>
          <w:p w14:paraId="43CDACE9">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模块名称</w:t>
            </w:r>
          </w:p>
        </w:tc>
        <w:tc>
          <w:tcPr>
            <w:tcW w:w="1583" w:type="dxa"/>
            <w:vAlign w:val="center"/>
          </w:tcPr>
          <w:p w14:paraId="58DDE99D">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bidi="ar"/>
              </w:rPr>
              <w:t>竞赛时间</w:t>
            </w:r>
            <w:r>
              <w:rPr>
                <w:rFonts w:hint="eastAsia" w:ascii="仿宋_GB2312" w:hAnsi="仿宋_GB2312" w:eastAsia="仿宋_GB2312" w:cs="仿宋_GB2312"/>
                <w:b/>
                <w:bCs/>
                <w:color w:val="auto"/>
                <w:kern w:val="0"/>
                <w:sz w:val="32"/>
                <w:szCs w:val="32"/>
                <w:highlight w:val="none"/>
                <w:lang w:val="en-US" w:eastAsia="zh-CN" w:bidi="ar"/>
              </w:rPr>
              <w:t>/min</w:t>
            </w:r>
          </w:p>
        </w:tc>
        <w:tc>
          <w:tcPr>
            <w:tcW w:w="1360" w:type="dxa"/>
            <w:vAlign w:val="center"/>
          </w:tcPr>
          <w:p w14:paraId="7AB8D9E2">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竞赛日期</w:t>
            </w:r>
          </w:p>
        </w:tc>
      </w:tr>
      <w:tr w14:paraId="118F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3" w:type="dxa"/>
            <w:vAlign w:val="center"/>
          </w:tcPr>
          <w:p w14:paraId="64251E18">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A</w:t>
            </w:r>
          </w:p>
        </w:tc>
        <w:tc>
          <w:tcPr>
            <w:tcW w:w="5035" w:type="dxa"/>
            <w:vAlign w:val="center"/>
          </w:tcPr>
          <w:p w14:paraId="14291758">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化学分析法测定样品中的组分含量</w:t>
            </w:r>
          </w:p>
        </w:tc>
        <w:tc>
          <w:tcPr>
            <w:tcW w:w="1583" w:type="dxa"/>
            <w:vAlign w:val="center"/>
          </w:tcPr>
          <w:p w14:paraId="18D16A01">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180</w:t>
            </w:r>
          </w:p>
        </w:tc>
        <w:tc>
          <w:tcPr>
            <w:tcW w:w="1360" w:type="dxa"/>
            <w:vMerge w:val="restart"/>
            <w:vAlign w:val="center"/>
          </w:tcPr>
          <w:p w14:paraId="25DA9CC9">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C1</w:t>
            </w:r>
          </w:p>
        </w:tc>
      </w:tr>
      <w:tr w14:paraId="1EFA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041E3FE3">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B</w:t>
            </w:r>
          </w:p>
        </w:tc>
        <w:tc>
          <w:tcPr>
            <w:tcW w:w="5035" w:type="dxa"/>
            <w:vAlign w:val="center"/>
          </w:tcPr>
          <w:p w14:paraId="7E378D1A">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分光光度法测定样品中的组分含量</w:t>
            </w:r>
          </w:p>
        </w:tc>
        <w:tc>
          <w:tcPr>
            <w:tcW w:w="1583" w:type="dxa"/>
            <w:vAlign w:val="center"/>
          </w:tcPr>
          <w:p w14:paraId="43C0959A">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val="en-US" w:eastAsia="zh-CN" w:bidi="ar"/>
              </w:rPr>
              <w:t>180</w:t>
            </w:r>
          </w:p>
        </w:tc>
        <w:tc>
          <w:tcPr>
            <w:tcW w:w="1360" w:type="dxa"/>
            <w:vMerge w:val="continue"/>
            <w:vAlign w:val="center"/>
          </w:tcPr>
          <w:p w14:paraId="6289C498">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r>
      <w:tr w14:paraId="08FE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2D93E087">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C</w:t>
            </w:r>
          </w:p>
        </w:tc>
        <w:tc>
          <w:tcPr>
            <w:tcW w:w="5035" w:type="dxa"/>
            <w:vAlign w:val="center"/>
          </w:tcPr>
          <w:p w14:paraId="154BFF38">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电位滴定法测定样品中的组分含量</w:t>
            </w:r>
          </w:p>
        </w:tc>
        <w:tc>
          <w:tcPr>
            <w:tcW w:w="1583" w:type="dxa"/>
            <w:vAlign w:val="center"/>
          </w:tcPr>
          <w:p w14:paraId="29178BA9">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color w:val="auto"/>
                <w:kern w:val="0"/>
                <w:sz w:val="32"/>
                <w:szCs w:val="32"/>
                <w:highlight w:val="none"/>
                <w:lang w:val="en-US" w:bidi="ar"/>
              </w:rPr>
            </w:pPr>
            <w:r>
              <w:rPr>
                <w:rFonts w:hint="eastAsia" w:ascii="仿宋_GB2312" w:hAnsi="仿宋_GB2312" w:eastAsia="仿宋_GB2312" w:cs="仿宋_GB2312"/>
                <w:color w:val="auto"/>
                <w:kern w:val="0"/>
                <w:sz w:val="32"/>
                <w:szCs w:val="32"/>
                <w:highlight w:val="none"/>
                <w:lang w:val="en-US" w:eastAsia="zh-CN" w:bidi="ar"/>
              </w:rPr>
              <w:t>180</w:t>
            </w:r>
          </w:p>
        </w:tc>
        <w:tc>
          <w:tcPr>
            <w:tcW w:w="1360" w:type="dxa"/>
            <w:vMerge w:val="restart"/>
            <w:vAlign w:val="center"/>
          </w:tcPr>
          <w:p w14:paraId="46E430FF">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C2</w:t>
            </w:r>
          </w:p>
        </w:tc>
      </w:tr>
      <w:tr w14:paraId="4F78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039C28D2">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D</w:t>
            </w:r>
          </w:p>
        </w:tc>
        <w:tc>
          <w:tcPr>
            <w:tcW w:w="5035" w:type="dxa"/>
            <w:vAlign w:val="center"/>
          </w:tcPr>
          <w:p w14:paraId="7DE169E8">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有机物的合成</w:t>
            </w:r>
          </w:p>
        </w:tc>
        <w:tc>
          <w:tcPr>
            <w:tcW w:w="1583" w:type="dxa"/>
            <w:vAlign w:val="center"/>
          </w:tcPr>
          <w:p w14:paraId="51BE56FB">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color w:val="auto"/>
                <w:kern w:val="0"/>
                <w:sz w:val="32"/>
                <w:szCs w:val="32"/>
                <w:highlight w:val="none"/>
                <w:lang w:val="en-US" w:bidi="ar"/>
              </w:rPr>
            </w:pPr>
            <w:r>
              <w:rPr>
                <w:rFonts w:hint="eastAsia" w:ascii="仿宋_GB2312" w:hAnsi="仿宋_GB2312" w:eastAsia="仿宋_GB2312" w:cs="仿宋_GB2312"/>
                <w:color w:val="auto"/>
                <w:kern w:val="0"/>
                <w:sz w:val="32"/>
                <w:szCs w:val="32"/>
                <w:highlight w:val="none"/>
                <w:lang w:val="en-US" w:eastAsia="zh-CN" w:bidi="ar"/>
              </w:rPr>
              <w:t>180</w:t>
            </w:r>
          </w:p>
        </w:tc>
        <w:tc>
          <w:tcPr>
            <w:tcW w:w="1360" w:type="dxa"/>
            <w:vMerge w:val="continue"/>
            <w:vAlign w:val="center"/>
          </w:tcPr>
          <w:p w14:paraId="5126D2EB">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r>
      <w:tr w14:paraId="3496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8" w:type="dxa"/>
            <w:gridSpan w:val="2"/>
            <w:vAlign w:val="center"/>
          </w:tcPr>
          <w:p w14:paraId="7863C7B5">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合计</w:t>
            </w:r>
          </w:p>
        </w:tc>
        <w:tc>
          <w:tcPr>
            <w:tcW w:w="1583" w:type="dxa"/>
            <w:vAlign w:val="center"/>
          </w:tcPr>
          <w:p w14:paraId="723D0BDC">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woUserID w:val="1"/>
              </w:rPr>
              <w:t>720</w:t>
            </w:r>
          </w:p>
        </w:tc>
        <w:tc>
          <w:tcPr>
            <w:tcW w:w="1360" w:type="dxa"/>
            <w:vAlign w:val="center"/>
          </w:tcPr>
          <w:p w14:paraId="75803D0B">
            <w:pPr>
              <w:keepNext w:val="0"/>
              <w:keepLines w:val="0"/>
              <w:pageBreakBefore w:val="0"/>
              <w:widowControl/>
              <w:kinsoku/>
              <w:wordWrap/>
              <w:overflowPunct/>
              <w:topLinePunct w:val="0"/>
              <w:autoSpaceDE/>
              <w:autoSpaceDN/>
              <w:bidi w:val="0"/>
              <w:adjustRightInd w:val="0"/>
              <w:snapToGrid w:val="0"/>
              <w:spacing w:line="54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按规定竞赛时</w:t>
            </w:r>
            <w:r>
              <w:rPr>
                <w:rFonts w:hint="eastAsia" w:ascii="仿宋_GB2312" w:hAnsi="仿宋_GB2312" w:eastAsia="仿宋_GB2312" w:cs="仿宋_GB2312"/>
                <w:color w:val="auto"/>
                <w:kern w:val="0"/>
                <w:sz w:val="32"/>
                <w:szCs w:val="32"/>
                <w:highlight w:val="none"/>
                <w:lang w:val="en-US" w:eastAsia="zh-CN" w:bidi="ar"/>
              </w:rPr>
              <w:t>间</w:t>
            </w:r>
            <w:r>
              <w:rPr>
                <w:rFonts w:hint="eastAsia" w:ascii="仿宋_GB2312" w:hAnsi="仿宋_GB2312" w:eastAsia="仿宋_GB2312" w:cs="仿宋_GB2312"/>
                <w:color w:val="auto"/>
                <w:kern w:val="0"/>
                <w:sz w:val="32"/>
                <w:szCs w:val="32"/>
                <w:highlight w:val="none"/>
                <w:lang w:bidi="ar"/>
              </w:rPr>
              <w:t>进行</w:t>
            </w:r>
          </w:p>
        </w:tc>
      </w:tr>
    </w:tbl>
    <w:p w14:paraId="7E7B38A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2.试题</w:t>
      </w:r>
    </w:p>
    <w:p w14:paraId="7278FAB8">
      <w:pPr>
        <w:pStyle w:val="2"/>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（1）模块A 化学分析法测定样品中的组分含量</w:t>
      </w:r>
    </w:p>
    <w:p w14:paraId="563936BF">
      <w:pPr>
        <w:keepNext w:val="0"/>
        <w:keepLines w:val="0"/>
        <w:pageBreakBefore w:val="0"/>
        <w:widowControl w:val="0"/>
        <w:kinsoku/>
        <w:wordWrap/>
        <w:overflowPunct/>
        <w:topLinePunct w:val="0"/>
        <w:autoSpaceDE/>
        <w:autoSpaceDN/>
        <w:bidi w:val="0"/>
        <w:adjustRightInd w:val="0"/>
        <w:snapToGrid w:val="0"/>
        <w:spacing w:line="600" w:lineRule="exact"/>
        <w:ind w:right="16" w:firstLine="640" w:firstLineChars="200"/>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本模块要求选手自行配制相关溶液，标定标准</w:t>
      </w:r>
      <w:r>
        <w:rPr>
          <w:rFonts w:hint="eastAsia" w:ascii="仿宋_GB2312" w:hAnsi="仿宋_GB2312" w:eastAsia="仿宋_GB2312" w:cs="仿宋_GB2312"/>
          <w:color w:val="auto"/>
          <w:kern w:val="0"/>
          <w:sz w:val="32"/>
          <w:szCs w:val="32"/>
          <w:highlight w:val="none"/>
          <w:lang w:val="en-US" w:eastAsia="zh-CN" w:bidi="ar"/>
        </w:rPr>
        <w:t>滴定</w:t>
      </w:r>
      <w:r>
        <w:rPr>
          <w:rFonts w:hint="eastAsia" w:ascii="仿宋_GB2312" w:hAnsi="仿宋_GB2312" w:eastAsia="仿宋_GB2312" w:cs="仿宋_GB2312"/>
          <w:color w:val="auto"/>
          <w:kern w:val="0"/>
          <w:sz w:val="32"/>
          <w:szCs w:val="32"/>
          <w:highlight w:val="none"/>
          <w:lang w:bidi="ar"/>
        </w:rPr>
        <w:t>溶液，处理样品</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测定样品中待测组分含量，同时评估测定的重复性，并给出测定报告单，</w:t>
      </w:r>
      <w:r>
        <w:rPr>
          <w:rFonts w:hint="eastAsia" w:ascii="仿宋_GB2312" w:hAnsi="仿宋_GB2312" w:eastAsia="仿宋_GB2312" w:cs="仿宋_GB2312"/>
          <w:color w:val="auto"/>
          <w:kern w:val="0"/>
          <w:sz w:val="32"/>
          <w:szCs w:val="32"/>
          <w:highlight w:val="none"/>
          <w:lang w:val="en-US" w:eastAsia="zh-CN" w:bidi="ar"/>
        </w:rPr>
        <w:t>实验室复位</w:t>
      </w:r>
      <w:r>
        <w:rPr>
          <w:rFonts w:hint="eastAsia" w:ascii="仿宋_GB2312" w:hAnsi="仿宋_GB2312" w:eastAsia="仿宋_GB2312" w:cs="仿宋_GB2312"/>
          <w:color w:val="auto"/>
          <w:kern w:val="0"/>
          <w:sz w:val="32"/>
          <w:szCs w:val="32"/>
          <w:highlight w:val="none"/>
          <w:lang w:bidi="ar"/>
        </w:rPr>
        <w:t>。</w:t>
      </w:r>
      <w:r>
        <w:rPr>
          <w:rFonts w:hint="eastAsia" w:ascii="仿宋_GB2312" w:hAnsi="仿宋_GB2312" w:eastAsia="仿宋_GB2312" w:cs="仿宋_GB2312"/>
          <w:color w:val="auto"/>
          <w:spacing w:val="7"/>
          <w:sz w:val="32"/>
          <w:szCs w:val="32"/>
          <w:highlight w:val="none"/>
        </w:rPr>
        <w:t>计量器具按照</w:t>
      </w:r>
      <w:r>
        <w:rPr>
          <w:rFonts w:hint="eastAsia" w:ascii="仿宋_GB2312" w:hAnsi="仿宋_GB2312" w:eastAsia="仿宋_GB2312" w:cs="仿宋_GB2312"/>
          <w:color w:val="auto"/>
          <w:spacing w:val="7"/>
          <w:sz w:val="32"/>
          <w:szCs w:val="32"/>
          <w:highlight w:val="none"/>
          <w:lang w:val="en-US" w:eastAsia="zh-CN"/>
        </w:rPr>
        <w:t>规范操作</w:t>
      </w:r>
      <w:r>
        <w:rPr>
          <w:rFonts w:hint="eastAsia" w:ascii="仿宋_GB2312" w:hAnsi="仿宋_GB2312" w:eastAsia="仿宋_GB2312" w:cs="仿宋_GB2312"/>
          <w:color w:val="auto"/>
          <w:spacing w:val="7"/>
          <w:sz w:val="32"/>
          <w:szCs w:val="32"/>
          <w:highlight w:val="none"/>
        </w:rPr>
        <w:t>。</w:t>
      </w:r>
    </w:p>
    <w:p w14:paraId="3DDE733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本模块的具体技术要求：</w:t>
      </w:r>
    </w:p>
    <w:p w14:paraId="60BB6699">
      <w:pPr>
        <w:keepNext w:val="0"/>
        <w:keepLines w:val="0"/>
        <w:pageBreakBefore w:val="0"/>
        <w:widowControl w:val="0"/>
        <w:kinsoku/>
        <w:wordWrap/>
        <w:overflowPunct/>
        <w:topLinePunct w:val="0"/>
        <w:autoSpaceDE/>
        <w:autoSpaceDN/>
        <w:bidi w:val="0"/>
        <w:adjustRightInd w:val="0"/>
        <w:snapToGrid w:val="0"/>
        <w:spacing w:line="600" w:lineRule="exact"/>
        <w:ind w:right="16" w:firstLine="640" w:firstLineChars="200"/>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①按行业要求，作好化学分析实验的</w:t>
      </w:r>
      <w:r>
        <w:rPr>
          <w:rFonts w:hint="eastAsia" w:ascii="仿宋_GB2312" w:hAnsi="仿宋_GB2312" w:eastAsia="仿宋_GB2312" w:cs="仿宋_GB2312"/>
          <w:color w:val="auto"/>
          <w:spacing w:val="9"/>
          <w:sz w:val="32"/>
          <w:szCs w:val="32"/>
          <w:highlight w:val="none"/>
        </w:rPr>
        <w:t>个人安全防护和规范操作</w:t>
      </w:r>
      <w:r>
        <w:rPr>
          <w:rFonts w:hint="eastAsia" w:ascii="仿宋_GB2312" w:hAnsi="仿宋_GB2312" w:eastAsia="仿宋_GB2312" w:cs="仿宋_GB2312"/>
          <w:color w:val="auto"/>
          <w:kern w:val="0"/>
          <w:sz w:val="32"/>
          <w:szCs w:val="32"/>
          <w:highlight w:val="none"/>
          <w:lang w:bidi="ar"/>
        </w:rPr>
        <w:t>；</w:t>
      </w:r>
    </w:p>
    <w:p w14:paraId="16662D93">
      <w:pPr>
        <w:keepNext w:val="0"/>
        <w:keepLines w:val="0"/>
        <w:pageBreakBefore w:val="0"/>
        <w:widowControl w:val="0"/>
        <w:kinsoku/>
        <w:wordWrap/>
        <w:overflowPunct/>
        <w:topLinePunct w:val="0"/>
        <w:autoSpaceDE/>
        <w:autoSpaceDN/>
        <w:bidi w:val="0"/>
        <w:adjustRightInd w:val="0"/>
        <w:snapToGrid w:val="0"/>
        <w:spacing w:line="600" w:lineRule="exact"/>
        <w:ind w:left="664"/>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②能规范使用分析天平、电子天平；</w:t>
      </w:r>
    </w:p>
    <w:p w14:paraId="519EC49A">
      <w:pPr>
        <w:keepNext w:val="0"/>
        <w:keepLines w:val="0"/>
        <w:pageBreakBefore w:val="0"/>
        <w:widowControl w:val="0"/>
        <w:kinsoku/>
        <w:wordWrap/>
        <w:overflowPunct/>
        <w:topLinePunct w:val="0"/>
        <w:autoSpaceDE/>
        <w:autoSpaceDN/>
        <w:bidi w:val="0"/>
        <w:adjustRightInd w:val="0"/>
        <w:snapToGrid w:val="0"/>
        <w:spacing w:line="600" w:lineRule="exact"/>
        <w:ind w:left="664"/>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③能规范使用容量瓶、移液管、滴定管等计量器皿；</w:t>
      </w:r>
    </w:p>
    <w:p w14:paraId="54FAA093">
      <w:pPr>
        <w:keepNext w:val="0"/>
        <w:keepLines w:val="0"/>
        <w:pageBreakBefore w:val="0"/>
        <w:widowControl w:val="0"/>
        <w:kinsoku/>
        <w:wordWrap/>
        <w:overflowPunct/>
        <w:topLinePunct w:val="0"/>
        <w:autoSpaceDE/>
        <w:autoSpaceDN/>
        <w:bidi w:val="0"/>
        <w:adjustRightInd w:val="0"/>
        <w:snapToGrid w:val="0"/>
        <w:spacing w:line="600" w:lineRule="exact"/>
        <w:ind w:left="664"/>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④能根据实验需要配制相关溶液；</w:t>
      </w:r>
    </w:p>
    <w:p w14:paraId="0DCAC6BF">
      <w:pPr>
        <w:keepNext w:val="0"/>
        <w:keepLines w:val="0"/>
        <w:pageBreakBefore w:val="0"/>
        <w:widowControl w:val="0"/>
        <w:kinsoku/>
        <w:wordWrap/>
        <w:overflowPunct/>
        <w:topLinePunct w:val="0"/>
        <w:autoSpaceDE/>
        <w:autoSpaceDN/>
        <w:bidi w:val="0"/>
        <w:adjustRightInd w:val="0"/>
        <w:snapToGrid w:val="0"/>
        <w:spacing w:line="600" w:lineRule="exact"/>
        <w:ind w:left="34" w:right="17" w:firstLine="629"/>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⑤能正确标定标准</w:t>
      </w:r>
      <w:r>
        <w:rPr>
          <w:rFonts w:hint="eastAsia" w:ascii="仿宋_GB2312" w:hAnsi="仿宋_GB2312" w:eastAsia="仿宋_GB2312" w:cs="仿宋_GB2312"/>
          <w:color w:val="auto"/>
          <w:kern w:val="0"/>
          <w:sz w:val="32"/>
          <w:szCs w:val="32"/>
          <w:highlight w:val="none"/>
          <w:lang w:val="en-US" w:eastAsia="zh-CN" w:bidi="ar"/>
        </w:rPr>
        <w:t>滴定</w:t>
      </w:r>
      <w:r>
        <w:rPr>
          <w:rFonts w:hint="eastAsia" w:ascii="仿宋_GB2312" w:hAnsi="仿宋_GB2312" w:eastAsia="仿宋_GB2312" w:cs="仿宋_GB2312"/>
          <w:color w:val="auto"/>
          <w:kern w:val="0"/>
          <w:sz w:val="32"/>
          <w:szCs w:val="32"/>
          <w:highlight w:val="none"/>
          <w:lang w:bidi="ar"/>
        </w:rPr>
        <w:t>溶液</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并对标定结果与精密度进行计算；</w:t>
      </w:r>
    </w:p>
    <w:p w14:paraId="33DE2A88">
      <w:pPr>
        <w:keepNext w:val="0"/>
        <w:keepLines w:val="0"/>
        <w:pageBreakBefore w:val="0"/>
        <w:widowControl w:val="0"/>
        <w:kinsoku/>
        <w:wordWrap/>
        <w:overflowPunct/>
        <w:topLinePunct w:val="0"/>
        <w:autoSpaceDE/>
        <w:autoSpaceDN/>
        <w:bidi w:val="0"/>
        <w:adjustRightInd w:val="0"/>
        <w:snapToGrid w:val="0"/>
        <w:spacing w:line="600" w:lineRule="exact"/>
        <w:ind w:left="34" w:right="17" w:firstLine="629"/>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⑥能根据实验需要正确使用电加热设备；</w:t>
      </w:r>
    </w:p>
    <w:p w14:paraId="3C0E715B">
      <w:pPr>
        <w:keepNext w:val="0"/>
        <w:keepLines w:val="0"/>
        <w:pageBreakBefore w:val="0"/>
        <w:widowControl w:val="0"/>
        <w:kinsoku/>
        <w:wordWrap/>
        <w:overflowPunct/>
        <w:topLinePunct w:val="0"/>
        <w:autoSpaceDE/>
        <w:autoSpaceDN/>
        <w:bidi w:val="0"/>
        <w:adjustRightInd w:val="0"/>
        <w:snapToGrid w:val="0"/>
        <w:spacing w:line="600" w:lineRule="exact"/>
        <w:ind w:left="35" w:right="16" w:firstLine="630"/>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⑦能按照赛题给出的操作程序测定样品中待测组分的含量；</w:t>
      </w:r>
    </w:p>
    <w:p w14:paraId="1D107A53">
      <w:pPr>
        <w:keepNext w:val="0"/>
        <w:keepLines w:val="0"/>
        <w:pageBreakBefore w:val="0"/>
        <w:widowControl w:val="0"/>
        <w:kinsoku/>
        <w:wordWrap/>
        <w:overflowPunct/>
        <w:topLinePunct w:val="0"/>
        <w:autoSpaceDE/>
        <w:autoSpaceDN/>
        <w:bidi w:val="0"/>
        <w:adjustRightInd w:val="0"/>
        <w:snapToGrid w:val="0"/>
        <w:spacing w:line="600" w:lineRule="exact"/>
        <w:ind w:left="35" w:right="16" w:firstLine="630"/>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⑧会使用WPS办公软件处理数据，编辑报告。</w:t>
      </w:r>
    </w:p>
    <w:p w14:paraId="1CECACD0">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（2）模块B 分光光度法测定样品中的组分含量</w:t>
      </w:r>
    </w:p>
    <w:p w14:paraId="7D8946A1">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本模块要求选手自行配制标准</w:t>
      </w:r>
      <w:r>
        <w:rPr>
          <w:rFonts w:hint="eastAsia" w:ascii="仿宋_GB2312" w:hAnsi="仿宋_GB2312" w:eastAsia="仿宋_GB2312" w:cs="仿宋_GB2312"/>
          <w:color w:val="auto"/>
          <w:spacing w:val="7"/>
          <w:sz w:val="32"/>
          <w:szCs w:val="32"/>
          <w:highlight w:val="none"/>
          <w:lang w:val="en-US" w:eastAsia="zh-CN"/>
        </w:rPr>
        <w:t>工作溶液</w:t>
      </w:r>
      <w:r>
        <w:rPr>
          <w:rFonts w:hint="eastAsia" w:ascii="仿宋_GB2312" w:hAnsi="仿宋_GB2312" w:eastAsia="仿宋_GB2312" w:cs="仿宋_GB2312"/>
          <w:color w:val="auto"/>
          <w:spacing w:val="7"/>
          <w:sz w:val="32"/>
          <w:szCs w:val="32"/>
          <w:highlight w:val="none"/>
        </w:rPr>
        <w:t>，绘制紫外-可见吸收光谱曲线，完成样品中待测组分的定性分析，规范处理样品，测定待测组分含量，同时评估测定的重复性，并给出测定报告单，</w:t>
      </w:r>
      <w:r>
        <w:rPr>
          <w:rFonts w:hint="eastAsia" w:ascii="仿宋_GB2312" w:hAnsi="仿宋_GB2312" w:eastAsia="仿宋_GB2312" w:cs="仿宋_GB2312"/>
          <w:color w:val="auto"/>
          <w:spacing w:val="7"/>
          <w:sz w:val="32"/>
          <w:szCs w:val="32"/>
          <w:highlight w:val="none"/>
          <w:lang w:val="en-US" w:eastAsia="zh-CN"/>
        </w:rPr>
        <w:t>实验室复位</w:t>
      </w:r>
      <w:r>
        <w:rPr>
          <w:rFonts w:hint="eastAsia" w:ascii="仿宋_GB2312" w:hAnsi="仿宋_GB2312" w:eastAsia="仿宋_GB2312" w:cs="仿宋_GB2312"/>
          <w:color w:val="auto"/>
          <w:spacing w:val="7"/>
          <w:sz w:val="32"/>
          <w:szCs w:val="32"/>
          <w:highlight w:val="none"/>
        </w:rPr>
        <w:t>。计量器具按照</w:t>
      </w:r>
      <w:r>
        <w:rPr>
          <w:rFonts w:hint="eastAsia" w:ascii="仿宋_GB2312" w:hAnsi="仿宋_GB2312" w:eastAsia="仿宋_GB2312" w:cs="仿宋_GB2312"/>
          <w:color w:val="auto"/>
          <w:spacing w:val="7"/>
          <w:sz w:val="32"/>
          <w:szCs w:val="32"/>
          <w:highlight w:val="none"/>
          <w:lang w:val="en-US" w:eastAsia="zh-CN"/>
        </w:rPr>
        <w:t>规范操作</w:t>
      </w:r>
      <w:r>
        <w:rPr>
          <w:rFonts w:hint="eastAsia" w:ascii="仿宋_GB2312" w:hAnsi="仿宋_GB2312" w:eastAsia="仿宋_GB2312" w:cs="仿宋_GB2312"/>
          <w:color w:val="auto"/>
          <w:spacing w:val="7"/>
          <w:sz w:val="32"/>
          <w:szCs w:val="32"/>
          <w:highlight w:val="none"/>
        </w:rPr>
        <w:t>。</w:t>
      </w:r>
    </w:p>
    <w:p w14:paraId="4A0F841E">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7"/>
          <w:sz w:val="32"/>
          <w:szCs w:val="32"/>
          <w:highlight w:val="none"/>
        </w:rPr>
        <w:t>本模块的具体技术要求</w:t>
      </w:r>
      <w:r>
        <w:rPr>
          <w:rFonts w:hint="eastAsia" w:ascii="仿宋_GB2312" w:hAnsi="仿宋_GB2312" w:eastAsia="仿宋_GB2312" w:cs="仿宋_GB2312"/>
          <w:color w:val="auto"/>
          <w:spacing w:val="6"/>
          <w:sz w:val="32"/>
          <w:szCs w:val="32"/>
          <w:highlight w:val="none"/>
        </w:rPr>
        <w:t>：</w:t>
      </w:r>
    </w:p>
    <w:p w14:paraId="588E31CB">
      <w:pPr>
        <w:keepNext w:val="0"/>
        <w:keepLines w:val="0"/>
        <w:pageBreakBefore w:val="0"/>
        <w:widowControl w:val="0"/>
        <w:kinsoku/>
        <w:wordWrap/>
        <w:overflowPunct/>
        <w:topLinePunct w:val="0"/>
        <w:autoSpaceDE/>
        <w:autoSpaceDN/>
        <w:bidi w:val="0"/>
        <w:adjustRightInd w:val="0"/>
        <w:snapToGrid w:val="0"/>
        <w:spacing w:line="600" w:lineRule="exact"/>
        <w:ind w:firstLine="676"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9"/>
          <w:sz w:val="32"/>
          <w:szCs w:val="32"/>
          <w:highlight w:val="none"/>
        </w:rPr>
        <w:t>①按行业要求，做好分光光度分析实验的个人安全防护和规范操作</w:t>
      </w:r>
      <w:r>
        <w:rPr>
          <w:rFonts w:hint="eastAsia" w:ascii="仿宋_GB2312" w:hAnsi="仿宋_GB2312" w:eastAsia="仿宋_GB2312" w:cs="仿宋_GB2312"/>
          <w:color w:val="auto"/>
          <w:spacing w:val="-1"/>
          <w:sz w:val="32"/>
          <w:szCs w:val="32"/>
          <w:highlight w:val="none"/>
        </w:rPr>
        <w:t>；</w:t>
      </w:r>
    </w:p>
    <w:p w14:paraId="49754A1B">
      <w:pPr>
        <w:keepNext w:val="0"/>
        <w:keepLines w:val="0"/>
        <w:pageBreakBefore w:val="0"/>
        <w:widowControl w:val="0"/>
        <w:kinsoku/>
        <w:wordWrap/>
        <w:overflowPunct/>
        <w:topLinePunct w:val="0"/>
        <w:autoSpaceDE/>
        <w:autoSpaceDN/>
        <w:bidi w:val="0"/>
        <w:adjustRightInd w:val="0"/>
        <w:snapToGrid w:val="0"/>
        <w:spacing w:line="600" w:lineRule="exact"/>
        <w:ind w:firstLine="676"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9"/>
          <w:sz w:val="32"/>
          <w:szCs w:val="32"/>
          <w:highlight w:val="none"/>
        </w:rPr>
        <w:t>②</w:t>
      </w:r>
      <w:r>
        <w:rPr>
          <w:rFonts w:hint="eastAsia" w:ascii="仿宋_GB2312" w:hAnsi="仿宋_GB2312" w:eastAsia="仿宋_GB2312" w:cs="仿宋_GB2312"/>
          <w:color w:val="auto"/>
          <w:spacing w:val="8"/>
          <w:sz w:val="32"/>
          <w:szCs w:val="32"/>
          <w:highlight w:val="none"/>
        </w:rPr>
        <w:t>能规范使用分析天平；</w:t>
      </w:r>
    </w:p>
    <w:p w14:paraId="1409BF2D">
      <w:pPr>
        <w:keepNext w:val="0"/>
        <w:keepLines w:val="0"/>
        <w:pageBreakBefore w:val="0"/>
        <w:widowControl w:val="0"/>
        <w:kinsoku/>
        <w:wordWrap/>
        <w:overflowPunct/>
        <w:topLinePunct w:val="0"/>
        <w:autoSpaceDE/>
        <w:autoSpaceDN/>
        <w:bidi w:val="0"/>
        <w:adjustRightInd w:val="0"/>
        <w:snapToGrid w:val="0"/>
        <w:spacing w:line="600" w:lineRule="exact"/>
        <w:ind w:firstLine="68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③</w:t>
      </w:r>
      <w:r>
        <w:rPr>
          <w:rFonts w:hint="eastAsia" w:ascii="仿宋_GB2312" w:hAnsi="仿宋_GB2312" w:eastAsia="仿宋_GB2312" w:cs="仿宋_GB2312"/>
          <w:color w:val="auto"/>
          <w:spacing w:val="9"/>
          <w:sz w:val="32"/>
          <w:szCs w:val="32"/>
          <w:highlight w:val="none"/>
        </w:rPr>
        <w:t>能规范使用容量瓶、移液管等计量器皿；</w:t>
      </w:r>
    </w:p>
    <w:p w14:paraId="730264F4">
      <w:pPr>
        <w:keepNext w:val="0"/>
        <w:keepLines w:val="0"/>
        <w:pageBreakBefore w:val="0"/>
        <w:widowControl w:val="0"/>
        <w:kinsoku/>
        <w:wordWrap/>
        <w:overflowPunct/>
        <w:topLinePunct w:val="0"/>
        <w:autoSpaceDE/>
        <w:autoSpaceDN/>
        <w:bidi w:val="0"/>
        <w:adjustRightInd w:val="0"/>
        <w:snapToGrid w:val="0"/>
        <w:spacing w:line="600" w:lineRule="exact"/>
        <w:ind w:firstLine="676" w:firstLineChars="200"/>
        <w:textAlignment w:val="auto"/>
        <w:rPr>
          <w:rFonts w:hint="eastAsia" w:ascii="仿宋_GB2312" w:hAnsi="仿宋_GB2312" w:eastAsia="仿宋_GB2312" w:cs="仿宋_GB2312"/>
          <w:color w:val="auto"/>
          <w:spacing w:val="9"/>
          <w:sz w:val="32"/>
          <w:szCs w:val="32"/>
          <w:highlight w:val="none"/>
        </w:rPr>
      </w:pPr>
      <w:r>
        <w:rPr>
          <w:rFonts w:hint="eastAsia" w:ascii="仿宋_GB2312" w:hAnsi="仿宋_GB2312" w:eastAsia="仿宋_GB2312" w:cs="仿宋_GB2312"/>
          <w:color w:val="auto"/>
          <w:spacing w:val="9"/>
          <w:sz w:val="32"/>
          <w:szCs w:val="32"/>
          <w:highlight w:val="none"/>
        </w:rPr>
        <w:t>④能根据实验需要配制相关的溶液；</w:t>
      </w:r>
    </w:p>
    <w:p w14:paraId="58810B72">
      <w:pPr>
        <w:keepNext w:val="0"/>
        <w:keepLines w:val="0"/>
        <w:pageBreakBefore w:val="0"/>
        <w:widowControl w:val="0"/>
        <w:kinsoku/>
        <w:wordWrap/>
        <w:overflowPunct/>
        <w:topLinePunct w:val="0"/>
        <w:autoSpaceDE/>
        <w:autoSpaceDN/>
        <w:bidi w:val="0"/>
        <w:adjustRightInd w:val="0"/>
        <w:snapToGrid w:val="0"/>
        <w:spacing w:line="600" w:lineRule="exact"/>
        <w:ind w:firstLine="676" w:firstLineChars="200"/>
        <w:textAlignment w:val="auto"/>
        <w:rPr>
          <w:rFonts w:hint="eastAsia" w:ascii="仿宋_GB2312" w:hAnsi="仿宋_GB2312" w:eastAsia="仿宋_GB2312" w:cs="仿宋_GB2312"/>
          <w:color w:val="auto"/>
          <w:spacing w:val="9"/>
          <w:sz w:val="32"/>
          <w:szCs w:val="32"/>
          <w:highlight w:val="none"/>
        </w:rPr>
      </w:pPr>
      <w:r>
        <w:rPr>
          <w:rFonts w:hint="eastAsia" w:ascii="仿宋_GB2312" w:hAnsi="仿宋_GB2312" w:eastAsia="仿宋_GB2312" w:cs="仿宋_GB2312"/>
          <w:color w:val="auto"/>
          <w:spacing w:val="9"/>
          <w:sz w:val="32"/>
          <w:szCs w:val="32"/>
          <w:highlight w:val="none"/>
        </w:rPr>
        <w:t>⑤能正确使用比色皿，并能进行比色皿的配套性检验；</w:t>
      </w:r>
    </w:p>
    <w:p w14:paraId="4489714A">
      <w:pPr>
        <w:keepNext w:val="0"/>
        <w:keepLines w:val="0"/>
        <w:pageBreakBefore w:val="0"/>
        <w:widowControl w:val="0"/>
        <w:kinsoku/>
        <w:wordWrap/>
        <w:overflowPunct/>
        <w:topLinePunct w:val="0"/>
        <w:autoSpaceDE/>
        <w:autoSpaceDN/>
        <w:bidi w:val="0"/>
        <w:adjustRightInd w:val="0"/>
        <w:snapToGrid w:val="0"/>
        <w:spacing w:line="600" w:lineRule="exact"/>
        <w:ind w:firstLine="676" w:firstLineChars="200"/>
        <w:textAlignment w:val="auto"/>
        <w:rPr>
          <w:rFonts w:hint="eastAsia" w:ascii="仿宋_GB2312" w:hAnsi="仿宋_GB2312" w:eastAsia="仿宋_GB2312" w:cs="仿宋_GB2312"/>
          <w:color w:val="auto"/>
          <w:spacing w:val="9"/>
          <w:sz w:val="32"/>
          <w:szCs w:val="32"/>
          <w:highlight w:val="none"/>
        </w:rPr>
      </w:pPr>
      <w:r>
        <w:rPr>
          <w:rFonts w:hint="eastAsia" w:ascii="仿宋_GB2312" w:hAnsi="仿宋_GB2312" w:eastAsia="仿宋_GB2312" w:cs="仿宋_GB2312"/>
          <w:color w:val="auto"/>
          <w:spacing w:val="9"/>
          <w:sz w:val="32"/>
          <w:szCs w:val="32"/>
          <w:highlight w:val="none"/>
        </w:rPr>
        <w:t>⑥能根据操作说明，使用双光束紫外</w:t>
      </w:r>
      <w:r>
        <w:rPr>
          <w:rFonts w:hint="eastAsia" w:ascii="仿宋_GB2312" w:hAnsi="仿宋_GB2312" w:eastAsia="仿宋_GB2312" w:cs="仿宋_GB2312"/>
          <w:color w:val="auto"/>
          <w:spacing w:val="9"/>
          <w:sz w:val="32"/>
          <w:szCs w:val="32"/>
          <w:highlight w:val="none"/>
          <w:lang w:val="en-US" w:eastAsia="zh-CN"/>
        </w:rPr>
        <w:t>-</w:t>
      </w:r>
      <w:r>
        <w:rPr>
          <w:rFonts w:hint="eastAsia" w:ascii="仿宋_GB2312" w:hAnsi="仿宋_GB2312" w:eastAsia="仿宋_GB2312" w:cs="仿宋_GB2312"/>
          <w:color w:val="auto"/>
          <w:spacing w:val="9"/>
          <w:sz w:val="32"/>
          <w:szCs w:val="32"/>
          <w:highlight w:val="none"/>
        </w:rPr>
        <w:t>可见分光光度计；</w:t>
      </w:r>
    </w:p>
    <w:p w14:paraId="294D65B3">
      <w:pPr>
        <w:keepNext w:val="0"/>
        <w:keepLines w:val="0"/>
        <w:pageBreakBefore w:val="0"/>
        <w:widowControl w:val="0"/>
        <w:kinsoku/>
        <w:wordWrap/>
        <w:overflowPunct/>
        <w:topLinePunct w:val="0"/>
        <w:autoSpaceDE/>
        <w:autoSpaceDN/>
        <w:bidi w:val="0"/>
        <w:adjustRightInd w:val="0"/>
        <w:snapToGrid w:val="0"/>
        <w:spacing w:line="600" w:lineRule="exact"/>
        <w:ind w:firstLine="676" w:firstLineChars="200"/>
        <w:textAlignment w:val="auto"/>
        <w:rPr>
          <w:rFonts w:hint="eastAsia" w:ascii="仿宋_GB2312" w:hAnsi="仿宋_GB2312" w:eastAsia="仿宋_GB2312" w:cs="仿宋_GB2312"/>
          <w:color w:val="auto"/>
          <w:spacing w:val="9"/>
          <w:sz w:val="32"/>
          <w:szCs w:val="32"/>
          <w:highlight w:val="none"/>
        </w:rPr>
      </w:pPr>
      <w:r>
        <w:rPr>
          <w:rFonts w:hint="eastAsia" w:ascii="仿宋_GB2312" w:hAnsi="仿宋_GB2312" w:eastAsia="仿宋_GB2312" w:cs="仿宋_GB2312"/>
          <w:color w:val="auto"/>
          <w:spacing w:val="9"/>
          <w:sz w:val="32"/>
          <w:szCs w:val="32"/>
          <w:highlight w:val="none"/>
        </w:rPr>
        <w:t>⑦能按照试题给出的操作程序测定样品中待测组分含量；</w:t>
      </w:r>
    </w:p>
    <w:p w14:paraId="2F33783D">
      <w:pPr>
        <w:keepNext w:val="0"/>
        <w:keepLines w:val="0"/>
        <w:pageBreakBefore w:val="0"/>
        <w:widowControl w:val="0"/>
        <w:kinsoku/>
        <w:wordWrap/>
        <w:overflowPunct/>
        <w:topLinePunct w:val="0"/>
        <w:autoSpaceDE/>
        <w:autoSpaceDN/>
        <w:bidi w:val="0"/>
        <w:adjustRightInd w:val="0"/>
        <w:snapToGrid w:val="0"/>
        <w:spacing w:line="600" w:lineRule="exact"/>
        <w:ind w:firstLine="676" w:firstLineChars="200"/>
        <w:textAlignment w:val="auto"/>
        <w:rPr>
          <w:rFonts w:hint="eastAsia" w:ascii="仿宋_GB2312" w:hAnsi="仿宋_GB2312" w:eastAsia="仿宋_GB2312" w:cs="仿宋_GB2312"/>
          <w:color w:val="auto"/>
          <w:spacing w:val="9"/>
          <w:sz w:val="32"/>
          <w:szCs w:val="32"/>
          <w:highlight w:val="none"/>
        </w:rPr>
      </w:pPr>
      <w:r>
        <w:rPr>
          <w:rFonts w:hint="eastAsia" w:ascii="仿宋_GB2312" w:hAnsi="仿宋_GB2312" w:eastAsia="仿宋_GB2312" w:cs="仿宋_GB2312"/>
          <w:color w:val="auto"/>
          <w:spacing w:val="9"/>
          <w:sz w:val="32"/>
          <w:szCs w:val="32"/>
          <w:highlight w:val="none"/>
        </w:rPr>
        <w:t>⑧会使用WPS办公软件处理数据，编辑报告。</w:t>
      </w:r>
    </w:p>
    <w:p w14:paraId="7EC2734D">
      <w:pPr>
        <w:pStyle w:val="2"/>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（3）模块C 电位滴定法测定样品中的组分含量</w:t>
      </w:r>
    </w:p>
    <w:p w14:paraId="2662AA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600" w:lineRule="exact"/>
        <w:ind w:left="0" w:right="0" w:firstLine="672" w:firstLineChars="200"/>
        <w:jc w:val="left"/>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本模块要求选手自行完成</w:t>
      </w:r>
      <w:r>
        <w:rPr>
          <w:rFonts w:hint="eastAsia" w:ascii="仿宋_GB2312" w:hAnsi="仿宋_GB2312" w:eastAsia="仿宋_GB2312" w:cs="仿宋_GB2312"/>
          <w:color w:val="auto"/>
          <w:spacing w:val="8"/>
          <w:sz w:val="32"/>
          <w:szCs w:val="32"/>
          <w:highlight w:val="none"/>
          <w:woUserID w:val="7"/>
        </w:rPr>
        <w:t>酸度计及电极</w:t>
      </w:r>
      <w:r>
        <w:rPr>
          <w:rFonts w:hint="eastAsia" w:ascii="仿宋_GB2312" w:hAnsi="仿宋_GB2312" w:eastAsia="仿宋_GB2312" w:cs="仿宋_GB2312"/>
          <w:color w:val="auto"/>
          <w:spacing w:val="8"/>
          <w:sz w:val="32"/>
          <w:szCs w:val="32"/>
          <w:highlight w:val="none"/>
          <w:lang w:eastAsia="zh"/>
          <w:woUserID w:val="7"/>
        </w:rPr>
        <w:t>的</w:t>
      </w:r>
      <w:r>
        <w:rPr>
          <w:rFonts w:hint="eastAsia" w:ascii="仿宋_GB2312" w:hAnsi="仿宋_GB2312" w:eastAsia="仿宋_GB2312" w:cs="仿宋_GB2312"/>
          <w:color w:val="auto"/>
          <w:spacing w:val="8"/>
          <w:sz w:val="32"/>
          <w:szCs w:val="32"/>
          <w:highlight w:val="none"/>
          <w:woUserID w:val="7"/>
        </w:rPr>
        <w:t>预处理</w:t>
      </w:r>
      <w:r>
        <w:rPr>
          <w:rFonts w:hint="eastAsia" w:ascii="仿宋_GB2312" w:hAnsi="仿宋_GB2312" w:eastAsia="仿宋_GB2312" w:cs="仿宋_GB2312"/>
          <w:color w:val="auto"/>
          <w:spacing w:val="8"/>
          <w:sz w:val="32"/>
          <w:szCs w:val="32"/>
          <w:highlight w:val="none"/>
        </w:rPr>
        <w:t>，标准滴定溶液的标定。样品分析完成后，按要求对数据进行处理，确定待测组分及含量，同时评估测定的重复性，并给出测定报告单，</w:t>
      </w:r>
      <w:r>
        <w:rPr>
          <w:rFonts w:hint="eastAsia" w:ascii="仿宋_GB2312" w:hAnsi="仿宋_GB2312" w:eastAsia="仿宋_GB2312" w:cs="仿宋_GB2312"/>
          <w:color w:val="auto"/>
          <w:kern w:val="0"/>
          <w:sz w:val="32"/>
          <w:szCs w:val="32"/>
          <w:highlight w:val="none"/>
          <w:lang w:val="en-US" w:eastAsia="zh-CN" w:bidi="ar"/>
        </w:rPr>
        <w:t>实验室复位</w:t>
      </w:r>
      <w:r>
        <w:rPr>
          <w:rFonts w:hint="eastAsia" w:ascii="仿宋_GB2312" w:hAnsi="仿宋_GB2312" w:eastAsia="仿宋_GB2312" w:cs="仿宋_GB2312"/>
          <w:color w:val="auto"/>
          <w:kern w:val="0"/>
          <w:sz w:val="32"/>
          <w:szCs w:val="32"/>
          <w:highlight w:val="none"/>
          <w:lang w:bidi="ar"/>
        </w:rPr>
        <w:t>。</w:t>
      </w:r>
      <w:r>
        <w:rPr>
          <w:rFonts w:hint="eastAsia" w:ascii="仿宋_GB2312" w:hAnsi="仿宋_GB2312" w:eastAsia="仿宋_GB2312" w:cs="仿宋_GB2312"/>
          <w:color w:val="auto"/>
          <w:spacing w:val="7"/>
          <w:sz w:val="32"/>
          <w:szCs w:val="32"/>
          <w:highlight w:val="none"/>
        </w:rPr>
        <w:t>计量器具按照</w:t>
      </w:r>
      <w:r>
        <w:rPr>
          <w:rFonts w:hint="eastAsia" w:ascii="仿宋_GB2312" w:hAnsi="仿宋_GB2312" w:eastAsia="仿宋_GB2312" w:cs="仿宋_GB2312"/>
          <w:color w:val="auto"/>
          <w:spacing w:val="7"/>
          <w:sz w:val="32"/>
          <w:szCs w:val="32"/>
          <w:highlight w:val="none"/>
          <w:lang w:val="en-US" w:eastAsia="zh-CN"/>
        </w:rPr>
        <w:t>规范操作</w:t>
      </w:r>
      <w:r>
        <w:rPr>
          <w:rFonts w:hint="eastAsia" w:ascii="仿宋_GB2312" w:hAnsi="仿宋_GB2312" w:eastAsia="仿宋_GB2312" w:cs="仿宋_GB2312"/>
          <w:color w:val="auto"/>
          <w:spacing w:val="7"/>
          <w:sz w:val="32"/>
          <w:szCs w:val="32"/>
          <w:highlight w:val="none"/>
        </w:rPr>
        <w:t>。</w:t>
      </w:r>
    </w:p>
    <w:p w14:paraId="58CD8DD3">
      <w:pPr>
        <w:keepNext w:val="0"/>
        <w:keepLines w:val="0"/>
        <w:pageBreakBefore w:val="0"/>
        <w:widowControl w:val="0"/>
        <w:kinsoku/>
        <w:wordWrap/>
        <w:overflowPunct/>
        <w:topLinePunct w:val="0"/>
        <w:autoSpaceDE/>
        <w:autoSpaceDN/>
        <w:bidi w:val="0"/>
        <w:adjustRightInd w:val="0"/>
        <w:snapToGrid w:val="0"/>
        <w:spacing w:line="600" w:lineRule="exact"/>
        <w:ind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本模块的具体技术要求：</w:t>
      </w:r>
    </w:p>
    <w:p w14:paraId="6A3D717B">
      <w:pPr>
        <w:keepNext w:val="0"/>
        <w:keepLines w:val="0"/>
        <w:pageBreakBefore w:val="0"/>
        <w:widowControl w:val="0"/>
        <w:kinsoku/>
        <w:wordWrap/>
        <w:overflowPunct/>
        <w:topLinePunct w:val="0"/>
        <w:autoSpaceDE/>
        <w:autoSpaceDN/>
        <w:bidi w:val="0"/>
        <w:adjustRightInd w:val="0"/>
        <w:snapToGrid w:val="0"/>
        <w:spacing w:line="600" w:lineRule="exact"/>
        <w:ind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①按行业要求，做好电位滴定分析实验的</w:t>
      </w:r>
      <w:r>
        <w:rPr>
          <w:rFonts w:hint="eastAsia" w:ascii="仿宋_GB2312" w:hAnsi="仿宋_GB2312" w:eastAsia="仿宋_GB2312" w:cs="仿宋_GB2312"/>
          <w:color w:val="auto"/>
          <w:spacing w:val="9"/>
          <w:sz w:val="32"/>
          <w:szCs w:val="32"/>
          <w:highlight w:val="none"/>
        </w:rPr>
        <w:t>个人安全防护和规范操作</w:t>
      </w:r>
      <w:r>
        <w:rPr>
          <w:rFonts w:hint="eastAsia" w:ascii="仿宋_GB2312" w:hAnsi="仿宋_GB2312" w:eastAsia="仿宋_GB2312" w:cs="仿宋_GB2312"/>
          <w:color w:val="auto"/>
          <w:spacing w:val="8"/>
          <w:sz w:val="32"/>
          <w:szCs w:val="32"/>
          <w:highlight w:val="none"/>
        </w:rPr>
        <w:t>；</w:t>
      </w:r>
    </w:p>
    <w:p w14:paraId="39D165E3">
      <w:pPr>
        <w:keepNext w:val="0"/>
        <w:keepLines w:val="0"/>
        <w:pageBreakBefore w:val="0"/>
        <w:widowControl w:val="0"/>
        <w:kinsoku/>
        <w:wordWrap/>
        <w:overflowPunct/>
        <w:topLinePunct w:val="0"/>
        <w:autoSpaceDE/>
        <w:autoSpaceDN/>
        <w:bidi w:val="0"/>
        <w:adjustRightInd w:val="0"/>
        <w:snapToGrid w:val="0"/>
        <w:spacing w:line="600" w:lineRule="exact"/>
        <w:ind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②能根据操作说明，使用酸度计；</w:t>
      </w:r>
    </w:p>
    <w:p w14:paraId="75DAEBAE">
      <w:pPr>
        <w:keepNext w:val="0"/>
        <w:keepLines w:val="0"/>
        <w:pageBreakBefore w:val="0"/>
        <w:widowControl w:val="0"/>
        <w:kinsoku/>
        <w:wordWrap/>
        <w:overflowPunct/>
        <w:topLinePunct w:val="0"/>
        <w:autoSpaceDE/>
        <w:autoSpaceDN/>
        <w:bidi w:val="0"/>
        <w:adjustRightInd w:val="0"/>
        <w:snapToGrid w:val="0"/>
        <w:spacing w:line="600" w:lineRule="exact"/>
        <w:ind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③能正确</w:t>
      </w:r>
      <w:r>
        <w:rPr>
          <w:rFonts w:hint="eastAsia" w:ascii="仿宋_GB2312" w:hAnsi="仿宋_GB2312" w:eastAsia="仿宋_GB2312" w:cs="仿宋_GB2312"/>
          <w:color w:val="auto"/>
          <w:spacing w:val="8"/>
          <w:sz w:val="32"/>
          <w:szCs w:val="32"/>
          <w:highlight w:val="none"/>
          <w:lang w:eastAsia="zh"/>
          <w:woUserID w:val="7"/>
        </w:rPr>
        <w:t>预处理酸度计及电极</w:t>
      </w:r>
      <w:r>
        <w:rPr>
          <w:rFonts w:hint="eastAsia" w:ascii="仿宋_GB2312" w:hAnsi="仿宋_GB2312" w:eastAsia="仿宋_GB2312" w:cs="仿宋_GB2312"/>
          <w:color w:val="auto"/>
          <w:spacing w:val="8"/>
          <w:sz w:val="32"/>
          <w:szCs w:val="32"/>
          <w:highlight w:val="none"/>
        </w:rPr>
        <w:t>；</w:t>
      </w:r>
    </w:p>
    <w:p w14:paraId="2D75B697">
      <w:pPr>
        <w:keepNext w:val="0"/>
        <w:keepLines w:val="0"/>
        <w:pageBreakBefore w:val="0"/>
        <w:widowControl w:val="0"/>
        <w:kinsoku/>
        <w:wordWrap/>
        <w:overflowPunct/>
        <w:topLinePunct w:val="0"/>
        <w:autoSpaceDE/>
        <w:autoSpaceDN/>
        <w:bidi w:val="0"/>
        <w:adjustRightInd w:val="0"/>
        <w:snapToGrid w:val="0"/>
        <w:spacing w:line="600" w:lineRule="exact"/>
        <w:ind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④能规范使用移液管、滴定管等计量器皿；</w:t>
      </w:r>
    </w:p>
    <w:p w14:paraId="7D579FDE">
      <w:pPr>
        <w:keepNext w:val="0"/>
        <w:keepLines w:val="0"/>
        <w:pageBreakBefore w:val="0"/>
        <w:widowControl w:val="0"/>
        <w:kinsoku/>
        <w:wordWrap/>
        <w:overflowPunct/>
        <w:topLinePunct w:val="0"/>
        <w:autoSpaceDE/>
        <w:autoSpaceDN/>
        <w:bidi w:val="0"/>
        <w:adjustRightInd w:val="0"/>
        <w:snapToGrid w:val="0"/>
        <w:spacing w:line="600" w:lineRule="exact"/>
        <w:ind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⑤能按照赛题给出的操作程序测定标准滴定溶液的浓度；</w:t>
      </w:r>
    </w:p>
    <w:p w14:paraId="0D6D00BE">
      <w:pPr>
        <w:keepNext w:val="0"/>
        <w:keepLines w:val="0"/>
        <w:pageBreakBefore w:val="0"/>
        <w:widowControl w:val="0"/>
        <w:kinsoku/>
        <w:wordWrap/>
        <w:overflowPunct/>
        <w:topLinePunct w:val="0"/>
        <w:autoSpaceDE/>
        <w:autoSpaceDN/>
        <w:bidi w:val="0"/>
        <w:adjustRightInd w:val="0"/>
        <w:snapToGrid w:val="0"/>
        <w:spacing w:line="600" w:lineRule="exact"/>
        <w:ind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⑥能按照赛题给出的操作程序测定样品中待测组分含量；</w:t>
      </w:r>
    </w:p>
    <w:p w14:paraId="181C1419">
      <w:pPr>
        <w:keepNext w:val="0"/>
        <w:keepLines w:val="0"/>
        <w:pageBreakBefore w:val="0"/>
        <w:widowControl w:val="0"/>
        <w:kinsoku/>
        <w:wordWrap/>
        <w:overflowPunct/>
        <w:topLinePunct w:val="0"/>
        <w:autoSpaceDE/>
        <w:autoSpaceDN/>
        <w:bidi w:val="0"/>
        <w:adjustRightInd w:val="0"/>
        <w:snapToGrid w:val="0"/>
        <w:spacing w:line="600" w:lineRule="exact"/>
        <w:ind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rPr>
        <w:t>⑦会使用WPS办公软件处理数据，编辑报告。</w:t>
      </w:r>
    </w:p>
    <w:p w14:paraId="4BBBF6AF">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（4）模块D 有机物的合成</w:t>
      </w:r>
    </w:p>
    <w:p w14:paraId="0C27BA03">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本模块要求选手自行配制实验相关的溶液，计算所需反应原料量，搭建合成装置，按流程合成与提纯目标有机物，计算产率并测量折光率，并给出合成报告单，</w:t>
      </w:r>
      <w:r>
        <w:rPr>
          <w:rFonts w:hint="eastAsia" w:ascii="仿宋_GB2312" w:hAnsi="仿宋_GB2312" w:eastAsia="仿宋_GB2312" w:cs="仿宋_GB2312"/>
          <w:color w:val="auto"/>
          <w:kern w:val="0"/>
          <w:sz w:val="32"/>
          <w:szCs w:val="32"/>
          <w:highlight w:val="none"/>
          <w:lang w:val="en-US" w:eastAsia="zh-CN" w:bidi="ar"/>
        </w:rPr>
        <w:t>实验室复位</w:t>
      </w:r>
      <w:r>
        <w:rPr>
          <w:rFonts w:hint="eastAsia" w:ascii="仿宋_GB2312" w:hAnsi="仿宋_GB2312" w:eastAsia="仿宋_GB2312" w:cs="仿宋_GB2312"/>
          <w:color w:val="auto"/>
          <w:kern w:val="0"/>
          <w:sz w:val="32"/>
          <w:szCs w:val="32"/>
          <w:highlight w:val="none"/>
          <w:lang w:bidi="ar"/>
        </w:rPr>
        <w:t>。</w:t>
      </w:r>
      <w:r>
        <w:rPr>
          <w:rFonts w:hint="eastAsia" w:ascii="仿宋_GB2312" w:hAnsi="仿宋_GB2312" w:eastAsia="仿宋_GB2312" w:cs="仿宋_GB2312"/>
          <w:color w:val="auto"/>
          <w:spacing w:val="7"/>
          <w:sz w:val="32"/>
          <w:szCs w:val="32"/>
          <w:highlight w:val="none"/>
        </w:rPr>
        <w:t>装置的搭建、拆卸和检查按照要求进行。</w:t>
      </w:r>
    </w:p>
    <w:p w14:paraId="2552971B">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本模块的具体技术要求：</w:t>
      </w:r>
    </w:p>
    <w:p w14:paraId="25849EBD">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①按行业要求，做好有机合成实验的个人安全防护和规范操作；</w:t>
      </w:r>
    </w:p>
    <w:p w14:paraId="0DA4D809">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②能规范使用电子天平；</w:t>
      </w:r>
    </w:p>
    <w:p w14:paraId="6DD40A93">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③能规范使用阿贝折射仪；</w:t>
      </w:r>
    </w:p>
    <w:p w14:paraId="41793FC9">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④能根据实验需要配制相关的溶液；</w:t>
      </w:r>
    </w:p>
    <w:p w14:paraId="3E6B5C04">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⑤能正确计算所需反应原料量；</w:t>
      </w:r>
    </w:p>
    <w:p w14:paraId="7EB546CC">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⑥能正确搭建和拆卸装置；</w:t>
      </w:r>
    </w:p>
    <w:p w14:paraId="4BA19E56">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⑦能按照赛题给出的操作程序合成和提纯有机物。</w:t>
      </w:r>
    </w:p>
    <w:p w14:paraId="186C6114">
      <w:pPr>
        <w:keepNext w:val="0"/>
        <w:keepLines w:val="0"/>
        <w:pageBreakBefore w:val="0"/>
        <w:widowControl w:val="0"/>
        <w:kinsoku/>
        <w:wordWrap/>
        <w:overflowPunct/>
        <w:topLinePunct w:val="0"/>
        <w:autoSpaceDE/>
        <w:autoSpaceDN/>
        <w:bidi w:val="0"/>
        <w:adjustRightInd w:val="0"/>
        <w:snapToGrid w:val="0"/>
        <w:spacing w:line="600" w:lineRule="exact"/>
        <w:ind w:firstLine="668" w:firstLineChars="200"/>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7"/>
          <w:sz w:val="32"/>
          <w:szCs w:val="32"/>
          <w:highlight w:val="none"/>
        </w:rPr>
        <w:t>⑧会使用WPS办公软件处理数据，编辑报告。</w:t>
      </w:r>
    </w:p>
    <w:p w14:paraId="0D6C2CB6">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11" w:name="_Toc21432"/>
      <w:r>
        <w:rPr>
          <w:rFonts w:hint="eastAsia" w:ascii="楷体" w:hAnsi="楷体" w:eastAsia="楷体" w:cs="楷体"/>
          <w:b/>
          <w:bCs/>
          <w:color w:val="auto"/>
          <w:kern w:val="2"/>
          <w:sz w:val="32"/>
          <w:szCs w:val="32"/>
          <w:highlight w:val="none"/>
          <w:lang w:val="en-US" w:eastAsia="zh-CN" w:bidi="ar-SA"/>
        </w:rPr>
        <w:t>（三）评判标准</w:t>
      </w:r>
      <w:bookmarkEnd w:id="11"/>
    </w:p>
    <w:p w14:paraId="31113344">
      <w:pPr>
        <w:pageBreakBefore w:val="0"/>
        <w:widowControl w:val="0"/>
        <w:kinsoku/>
        <w:wordWrap/>
        <w:overflowPunct/>
        <w:topLinePunct w:val="0"/>
        <w:autoSpaceDE/>
        <w:autoSpaceDN/>
        <w:bidi w:val="0"/>
        <w:adjustRightInd w:val="0"/>
        <w:snapToGrid w:val="0"/>
        <w:spacing w:line="600" w:lineRule="exact"/>
        <w:ind w:left="689"/>
        <w:textAlignment w:val="auto"/>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3"/>
          <w:position w:val="2"/>
          <w:sz w:val="32"/>
          <w:szCs w:val="32"/>
          <w:highlight w:val="none"/>
        </w:rPr>
        <w:t>1</w:t>
      </w:r>
      <w:r>
        <w:rPr>
          <w:rFonts w:hint="eastAsia" w:ascii="仿宋_GB2312" w:hAnsi="仿宋_GB2312" w:eastAsia="仿宋_GB2312" w:cs="仿宋_GB2312"/>
          <w:color w:val="auto"/>
          <w:spacing w:val="2"/>
          <w:position w:val="2"/>
          <w:sz w:val="32"/>
          <w:szCs w:val="32"/>
          <w:highlight w:val="none"/>
        </w:rPr>
        <w:t>.分数权重</w:t>
      </w:r>
    </w:p>
    <w:p w14:paraId="122DD27C">
      <w:pPr>
        <w:pageBreakBefore w:val="0"/>
        <w:widowControl w:val="0"/>
        <w:kinsoku/>
        <w:wordWrap/>
        <w:overflowPunct/>
        <w:topLinePunct w:val="0"/>
        <w:autoSpaceDE/>
        <w:autoSpaceDN/>
        <w:bidi w:val="0"/>
        <w:adjustRightInd w:val="0"/>
        <w:snapToGrid w:val="0"/>
        <w:spacing w:line="600" w:lineRule="exact"/>
        <w:ind w:left="677"/>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16"/>
          <w:sz w:val="32"/>
          <w:szCs w:val="32"/>
          <w:highlight w:val="none"/>
        </w:rPr>
        <w:t>化</w:t>
      </w:r>
      <w:r>
        <w:rPr>
          <w:rFonts w:hint="eastAsia" w:ascii="仿宋_GB2312" w:hAnsi="仿宋_GB2312" w:eastAsia="仿宋_GB2312" w:cs="仿宋_GB2312"/>
          <w:color w:val="auto"/>
          <w:spacing w:val="12"/>
          <w:sz w:val="32"/>
          <w:szCs w:val="32"/>
          <w:highlight w:val="none"/>
        </w:rPr>
        <w:t>学</w:t>
      </w:r>
      <w:r>
        <w:rPr>
          <w:rFonts w:hint="eastAsia" w:ascii="仿宋_GB2312" w:hAnsi="仿宋_GB2312" w:eastAsia="仿宋_GB2312" w:cs="仿宋_GB2312"/>
          <w:color w:val="auto"/>
          <w:spacing w:val="8"/>
          <w:sz w:val="32"/>
          <w:szCs w:val="32"/>
          <w:highlight w:val="none"/>
        </w:rPr>
        <w:t>实验室技术项目竞赛各模块的分数权重如下表：</w:t>
      </w:r>
    </w:p>
    <w:p w14:paraId="7B305071">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表3 化学实验室技术项目竞赛模块分数权重</w:t>
      </w:r>
    </w:p>
    <w:tbl>
      <w:tblPr>
        <w:tblStyle w:val="29"/>
        <w:tblW w:w="8043"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5184"/>
        <w:gridCol w:w="1979"/>
      </w:tblGrid>
      <w:tr w14:paraId="6160C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80" w:type="dxa"/>
            <w:vAlign w:val="center"/>
          </w:tcPr>
          <w:p w14:paraId="03E2FE49">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模块编号</w:t>
            </w:r>
          </w:p>
        </w:tc>
        <w:tc>
          <w:tcPr>
            <w:tcW w:w="5184" w:type="dxa"/>
            <w:vAlign w:val="center"/>
          </w:tcPr>
          <w:p w14:paraId="08B98A6F">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模块名称</w:t>
            </w:r>
          </w:p>
        </w:tc>
        <w:tc>
          <w:tcPr>
            <w:tcW w:w="1979" w:type="dxa"/>
            <w:vAlign w:val="center"/>
          </w:tcPr>
          <w:p w14:paraId="1F7F4D67">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bidi="ar"/>
              </w:rPr>
              <w:t>分数权重</w:t>
            </w:r>
            <w:r>
              <w:rPr>
                <w:rFonts w:hint="eastAsia" w:ascii="仿宋_GB2312" w:hAnsi="仿宋_GB2312" w:eastAsia="仿宋_GB2312" w:cs="仿宋_GB2312"/>
                <w:b/>
                <w:bCs/>
                <w:color w:val="auto"/>
                <w:kern w:val="0"/>
                <w:sz w:val="32"/>
                <w:szCs w:val="32"/>
                <w:highlight w:val="none"/>
                <w:lang w:val="en-US" w:eastAsia="zh-CN" w:bidi="ar"/>
              </w:rPr>
              <w:t>(</w:t>
            </w:r>
            <w:r>
              <w:rPr>
                <w:rFonts w:hint="eastAsia" w:ascii="仿宋_GB2312" w:hAnsi="仿宋_GB2312" w:eastAsia="仿宋_GB2312" w:cs="仿宋_GB2312"/>
                <w:b/>
                <w:bCs/>
                <w:color w:val="auto"/>
                <w:kern w:val="0"/>
                <w:sz w:val="32"/>
                <w:szCs w:val="32"/>
                <w:highlight w:val="none"/>
                <w:lang w:bidi="ar"/>
              </w:rPr>
              <w:t>%</w:t>
            </w:r>
            <w:r>
              <w:rPr>
                <w:rFonts w:hint="eastAsia" w:ascii="仿宋_GB2312" w:hAnsi="仿宋_GB2312" w:eastAsia="仿宋_GB2312" w:cs="仿宋_GB2312"/>
                <w:b/>
                <w:bCs/>
                <w:color w:val="auto"/>
                <w:kern w:val="0"/>
                <w:sz w:val="32"/>
                <w:szCs w:val="32"/>
                <w:highlight w:val="none"/>
                <w:lang w:val="en-US" w:eastAsia="zh-CN" w:bidi="ar"/>
              </w:rPr>
              <w:t>)</w:t>
            </w:r>
          </w:p>
        </w:tc>
      </w:tr>
      <w:tr w14:paraId="0B18B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80" w:type="dxa"/>
            <w:vAlign w:val="center"/>
          </w:tcPr>
          <w:p w14:paraId="522AB58A">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A</w:t>
            </w:r>
          </w:p>
        </w:tc>
        <w:tc>
          <w:tcPr>
            <w:tcW w:w="5184" w:type="dxa"/>
            <w:vAlign w:val="center"/>
          </w:tcPr>
          <w:p w14:paraId="08FDFB0E">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化学分析法测定样品中的组分含量</w:t>
            </w:r>
          </w:p>
        </w:tc>
        <w:tc>
          <w:tcPr>
            <w:tcW w:w="1979" w:type="dxa"/>
            <w:vAlign w:val="center"/>
          </w:tcPr>
          <w:p w14:paraId="206C2020">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eastAsia="zh" w:bidi="ar"/>
                <w:woUserID w:val="1"/>
              </w:rPr>
            </w:pPr>
            <w:r>
              <w:rPr>
                <w:rFonts w:hint="eastAsia" w:ascii="仿宋_GB2312" w:hAnsi="仿宋_GB2312" w:eastAsia="仿宋_GB2312" w:cs="仿宋_GB2312"/>
                <w:color w:val="auto"/>
                <w:kern w:val="0"/>
                <w:sz w:val="32"/>
                <w:szCs w:val="32"/>
                <w:highlight w:val="none"/>
                <w:lang w:eastAsia="zh" w:bidi="ar"/>
                <w:woUserID w:val="1"/>
              </w:rPr>
              <w:t>30</w:t>
            </w:r>
          </w:p>
        </w:tc>
      </w:tr>
      <w:tr w14:paraId="21B4A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80" w:type="dxa"/>
            <w:vAlign w:val="center"/>
          </w:tcPr>
          <w:p w14:paraId="67A06BAB">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B</w:t>
            </w:r>
          </w:p>
        </w:tc>
        <w:tc>
          <w:tcPr>
            <w:tcW w:w="5184" w:type="dxa"/>
            <w:vAlign w:val="center"/>
          </w:tcPr>
          <w:p w14:paraId="7FC7B66A">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分光光度法测定样品中的组分含量</w:t>
            </w:r>
          </w:p>
        </w:tc>
        <w:tc>
          <w:tcPr>
            <w:tcW w:w="1979" w:type="dxa"/>
            <w:vAlign w:val="center"/>
          </w:tcPr>
          <w:p w14:paraId="1C8F4757">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woUserID w:val="1"/>
              </w:rPr>
            </w:pPr>
            <w:r>
              <w:rPr>
                <w:rFonts w:hint="eastAsia" w:ascii="仿宋_GB2312" w:hAnsi="仿宋_GB2312" w:eastAsia="仿宋_GB2312" w:cs="仿宋_GB2312"/>
                <w:color w:val="auto"/>
                <w:kern w:val="0"/>
                <w:sz w:val="32"/>
                <w:szCs w:val="32"/>
                <w:highlight w:val="none"/>
                <w:lang w:eastAsia="zh" w:bidi="ar"/>
                <w:woUserID w:val="1"/>
              </w:rPr>
              <w:t>30</w:t>
            </w:r>
          </w:p>
        </w:tc>
      </w:tr>
      <w:tr w14:paraId="71F1E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80" w:type="dxa"/>
            <w:vAlign w:val="center"/>
          </w:tcPr>
          <w:p w14:paraId="54D1B69A">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C</w:t>
            </w:r>
          </w:p>
        </w:tc>
        <w:tc>
          <w:tcPr>
            <w:tcW w:w="5184" w:type="dxa"/>
            <w:vAlign w:val="center"/>
          </w:tcPr>
          <w:p w14:paraId="70550B2F">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电位滴定法测定样品中的组分含量</w:t>
            </w:r>
          </w:p>
        </w:tc>
        <w:tc>
          <w:tcPr>
            <w:tcW w:w="1979" w:type="dxa"/>
            <w:vAlign w:val="center"/>
          </w:tcPr>
          <w:p w14:paraId="6BFB3F7C">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eastAsia="zh" w:bidi="ar"/>
                <w:woUserID w:val="1"/>
              </w:rPr>
            </w:pPr>
            <w:r>
              <w:rPr>
                <w:rFonts w:hint="eastAsia" w:ascii="仿宋_GB2312" w:hAnsi="仿宋_GB2312" w:eastAsia="仿宋_GB2312" w:cs="仿宋_GB2312"/>
                <w:color w:val="auto"/>
                <w:kern w:val="0"/>
                <w:sz w:val="32"/>
                <w:szCs w:val="32"/>
                <w:highlight w:val="none"/>
                <w:lang w:eastAsia="zh" w:bidi="ar"/>
                <w:woUserID w:val="1"/>
              </w:rPr>
              <w:t>20</w:t>
            </w:r>
          </w:p>
        </w:tc>
      </w:tr>
      <w:tr w14:paraId="29816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80" w:type="dxa"/>
            <w:vAlign w:val="center"/>
          </w:tcPr>
          <w:p w14:paraId="5DFD2C7A">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D</w:t>
            </w:r>
          </w:p>
        </w:tc>
        <w:tc>
          <w:tcPr>
            <w:tcW w:w="5184" w:type="dxa"/>
            <w:vAlign w:val="center"/>
          </w:tcPr>
          <w:p w14:paraId="46B03FEA">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有机物的合成</w:t>
            </w:r>
          </w:p>
        </w:tc>
        <w:tc>
          <w:tcPr>
            <w:tcW w:w="1979" w:type="dxa"/>
            <w:vAlign w:val="center"/>
          </w:tcPr>
          <w:p w14:paraId="058A0170">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eastAsia="zh" w:bidi="ar"/>
                <w:woUserID w:val="1"/>
              </w:rPr>
              <w:t>20</w:t>
            </w:r>
          </w:p>
        </w:tc>
      </w:tr>
      <w:tr w14:paraId="2BEB5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6064" w:type="dxa"/>
            <w:gridSpan w:val="2"/>
            <w:vAlign w:val="center"/>
          </w:tcPr>
          <w:p w14:paraId="011F6B0B">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总计</w:t>
            </w:r>
          </w:p>
        </w:tc>
        <w:tc>
          <w:tcPr>
            <w:tcW w:w="1979" w:type="dxa"/>
            <w:vAlign w:val="center"/>
          </w:tcPr>
          <w:p w14:paraId="4F4272B3">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100</w:t>
            </w:r>
          </w:p>
        </w:tc>
      </w:tr>
    </w:tbl>
    <w:p w14:paraId="4D48A04E">
      <w:pPr>
        <w:keepNext w:val="0"/>
        <w:keepLines w:val="0"/>
        <w:pageBreakBefore w:val="0"/>
        <w:widowControl w:val="0"/>
        <w:kinsoku/>
        <w:wordWrap/>
        <w:overflowPunct/>
        <w:topLinePunct w:val="0"/>
        <w:autoSpaceDE/>
        <w:autoSpaceDN/>
        <w:bidi w:val="0"/>
        <w:adjustRightInd w:val="0"/>
        <w:snapToGrid w:val="0"/>
        <w:spacing w:line="600" w:lineRule="exact"/>
        <w:ind w:left="37" w:right="13" w:firstLine="639"/>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8"/>
          <w:sz w:val="32"/>
          <w:szCs w:val="32"/>
          <w:highlight w:val="none"/>
        </w:rPr>
        <w:t>化</w:t>
      </w:r>
      <w:r>
        <w:rPr>
          <w:rFonts w:hint="eastAsia" w:ascii="仿宋_GB2312" w:hAnsi="仿宋_GB2312" w:eastAsia="仿宋_GB2312" w:cs="仿宋_GB2312"/>
          <w:color w:val="auto"/>
          <w:spacing w:val="22"/>
          <w:sz w:val="32"/>
          <w:szCs w:val="32"/>
          <w:highlight w:val="none"/>
        </w:rPr>
        <w:t>学实验室技术项目评分标准分为测量和评价两</w:t>
      </w:r>
      <w:r>
        <w:rPr>
          <w:rFonts w:hint="eastAsia" w:ascii="仿宋_GB2312" w:hAnsi="仿宋_GB2312" w:eastAsia="仿宋_GB2312" w:cs="仿宋_GB2312"/>
          <w:color w:val="auto"/>
          <w:spacing w:val="4"/>
          <w:sz w:val="32"/>
          <w:szCs w:val="32"/>
          <w:highlight w:val="none"/>
        </w:rPr>
        <w:t>种评判模</w:t>
      </w:r>
      <w:r>
        <w:rPr>
          <w:rFonts w:hint="eastAsia" w:ascii="仿宋_GB2312" w:hAnsi="仿宋_GB2312" w:eastAsia="仿宋_GB2312" w:cs="仿宋_GB2312"/>
          <w:color w:val="auto"/>
          <w:spacing w:val="3"/>
          <w:sz w:val="32"/>
          <w:szCs w:val="32"/>
          <w:highlight w:val="none"/>
        </w:rPr>
        <w:t>式</w:t>
      </w:r>
      <w:r>
        <w:rPr>
          <w:rFonts w:hint="eastAsia" w:ascii="仿宋_GB2312" w:hAnsi="仿宋_GB2312" w:eastAsia="仿宋_GB2312" w:cs="仿宋_GB2312"/>
          <w:color w:val="auto"/>
          <w:spacing w:val="2"/>
          <w:sz w:val="32"/>
          <w:szCs w:val="32"/>
          <w:highlight w:val="none"/>
        </w:rPr>
        <w:t>，凡可采用客观数据表述的评判称为测量；凡需要采用主观描述进行的评判称为评价。本项目以测量评分为主，总分为100分，各部分</w:t>
      </w:r>
      <w:r>
        <w:rPr>
          <w:rFonts w:hint="eastAsia" w:ascii="仿宋_GB2312" w:hAnsi="仿宋_GB2312" w:eastAsia="仿宋_GB2312" w:cs="仿宋_GB2312"/>
          <w:color w:val="auto"/>
          <w:spacing w:val="4"/>
          <w:sz w:val="32"/>
          <w:szCs w:val="32"/>
          <w:highlight w:val="none"/>
        </w:rPr>
        <w:t>的参考配分</w:t>
      </w:r>
      <w:r>
        <w:rPr>
          <w:rFonts w:hint="eastAsia" w:ascii="仿宋_GB2312" w:hAnsi="仿宋_GB2312" w:eastAsia="仿宋_GB2312" w:cs="仿宋_GB2312"/>
          <w:color w:val="auto"/>
          <w:spacing w:val="3"/>
          <w:sz w:val="32"/>
          <w:szCs w:val="32"/>
          <w:highlight w:val="none"/>
        </w:rPr>
        <w:t>见</w:t>
      </w:r>
      <w:r>
        <w:rPr>
          <w:rFonts w:hint="eastAsia" w:ascii="仿宋_GB2312" w:hAnsi="仿宋_GB2312" w:eastAsia="仿宋_GB2312" w:cs="仿宋_GB2312"/>
          <w:color w:val="auto"/>
          <w:spacing w:val="2"/>
          <w:sz w:val="32"/>
          <w:szCs w:val="32"/>
          <w:highlight w:val="none"/>
        </w:rPr>
        <w:t>附件2</w:t>
      </w:r>
      <w:r>
        <w:rPr>
          <w:rFonts w:hint="eastAsia" w:ascii="仿宋_GB2312" w:hAnsi="仿宋_GB2312" w:eastAsia="仿宋_GB2312" w:cs="仿宋_GB2312"/>
          <w:color w:val="auto"/>
          <w:spacing w:val="2"/>
          <w:sz w:val="32"/>
          <w:szCs w:val="32"/>
          <w:highlight w:val="none"/>
          <w:lang w:eastAsia="zh-CN"/>
        </w:rPr>
        <w:t>《</w:t>
      </w:r>
      <w:r>
        <w:rPr>
          <w:rFonts w:hint="eastAsia" w:ascii="仿宋_GB2312" w:hAnsi="仿宋_GB2312" w:eastAsia="仿宋_GB2312" w:cs="仿宋_GB2312"/>
          <w:color w:val="auto"/>
          <w:spacing w:val="2"/>
          <w:sz w:val="32"/>
          <w:szCs w:val="32"/>
          <w:highlight w:val="none"/>
        </w:rPr>
        <w:t>考核项目配分表</w:t>
      </w:r>
      <w:r>
        <w:rPr>
          <w:rFonts w:hint="eastAsia" w:ascii="仿宋_GB2312" w:hAnsi="仿宋_GB2312" w:eastAsia="仿宋_GB2312" w:cs="仿宋_GB2312"/>
          <w:color w:val="auto"/>
          <w:spacing w:val="2"/>
          <w:sz w:val="32"/>
          <w:szCs w:val="32"/>
          <w:highlight w:val="none"/>
          <w:lang w:eastAsia="zh-CN"/>
        </w:rPr>
        <w:t>》</w:t>
      </w:r>
      <w:r>
        <w:rPr>
          <w:rFonts w:hint="eastAsia" w:ascii="仿宋_GB2312" w:hAnsi="仿宋_GB2312" w:eastAsia="仿宋_GB2312" w:cs="仿宋_GB2312"/>
          <w:color w:val="auto"/>
          <w:spacing w:val="2"/>
          <w:sz w:val="32"/>
          <w:szCs w:val="32"/>
          <w:highlight w:val="none"/>
        </w:rPr>
        <w:t>。具体以正式竞赛所公</w:t>
      </w:r>
      <w:r>
        <w:rPr>
          <w:rFonts w:hint="eastAsia" w:ascii="仿宋_GB2312" w:hAnsi="仿宋_GB2312" w:eastAsia="仿宋_GB2312" w:cs="仿宋_GB2312"/>
          <w:color w:val="auto"/>
          <w:spacing w:val="6"/>
          <w:sz w:val="32"/>
          <w:szCs w:val="32"/>
          <w:highlight w:val="none"/>
        </w:rPr>
        <w:t>布的评分标准为准。</w:t>
      </w:r>
    </w:p>
    <w:p w14:paraId="7336D09F">
      <w:pPr>
        <w:keepNext w:val="0"/>
        <w:keepLines w:val="0"/>
        <w:pageBreakBefore w:val="0"/>
        <w:widowControl w:val="0"/>
        <w:kinsoku/>
        <w:wordWrap/>
        <w:overflowPunct/>
        <w:topLinePunct w:val="0"/>
        <w:autoSpaceDE/>
        <w:autoSpaceDN/>
        <w:bidi w:val="0"/>
        <w:adjustRightInd w:val="0"/>
        <w:snapToGrid w:val="0"/>
        <w:spacing w:line="600" w:lineRule="exact"/>
        <w:ind w:left="40" w:firstLine="636"/>
        <w:textAlignment w:val="auto"/>
        <w:rPr>
          <w:rFonts w:hint="eastAsia" w:ascii="仿宋_GB2312" w:hAnsi="仿宋_GB2312" w:eastAsia="仿宋_GB2312" w:cs="仿宋_GB2312"/>
          <w:color w:val="auto"/>
          <w:spacing w:val="24"/>
          <w:sz w:val="32"/>
          <w:szCs w:val="32"/>
          <w:highlight w:val="none"/>
        </w:rPr>
      </w:pPr>
      <w:r>
        <w:rPr>
          <w:rFonts w:hint="eastAsia" w:ascii="仿宋_GB2312" w:hAnsi="仿宋_GB2312" w:eastAsia="仿宋_GB2312" w:cs="仿宋_GB2312"/>
          <w:color w:val="auto"/>
          <w:spacing w:val="24"/>
          <w:sz w:val="32"/>
          <w:szCs w:val="32"/>
          <w:highlight w:val="none"/>
        </w:rPr>
        <w:t>（1）评价评分</w:t>
      </w:r>
    </w:p>
    <w:p w14:paraId="32A14901">
      <w:pPr>
        <w:keepNext w:val="0"/>
        <w:keepLines w:val="0"/>
        <w:pageBreakBefore w:val="0"/>
        <w:widowControl w:val="0"/>
        <w:kinsoku/>
        <w:wordWrap/>
        <w:overflowPunct/>
        <w:topLinePunct w:val="0"/>
        <w:autoSpaceDE/>
        <w:autoSpaceDN/>
        <w:bidi w:val="0"/>
        <w:adjustRightInd w:val="0"/>
        <w:snapToGrid w:val="0"/>
        <w:spacing w:line="600" w:lineRule="exact"/>
        <w:ind w:left="40" w:firstLine="636"/>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12"/>
          <w:sz w:val="32"/>
          <w:szCs w:val="32"/>
          <w:highlight w:val="none"/>
        </w:rPr>
        <w:t>评价</w:t>
      </w:r>
      <w:r>
        <w:rPr>
          <w:rFonts w:hint="eastAsia" w:ascii="仿宋_GB2312" w:hAnsi="仿宋_GB2312" w:eastAsia="仿宋_GB2312" w:cs="仿宋_GB2312"/>
          <w:color w:val="auto"/>
          <w:spacing w:val="-7"/>
          <w:sz w:val="32"/>
          <w:szCs w:val="32"/>
          <w:highlight w:val="none"/>
        </w:rPr>
        <w:t>评</w:t>
      </w:r>
      <w:r>
        <w:rPr>
          <w:rFonts w:hint="eastAsia" w:ascii="仿宋_GB2312" w:hAnsi="仿宋_GB2312" w:eastAsia="仿宋_GB2312" w:cs="仿宋_GB2312"/>
          <w:color w:val="auto"/>
          <w:spacing w:val="-6"/>
          <w:sz w:val="32"/>
          <w:szCs w:val="32"/>
          <w:highlight w:val="none"/>
        </w:rPr>
        <w:t>分共4个等级，裁判根据选手完成情况进行打分，</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6"/>
          <w:sz w:val="32"/>
          <w:szCs w:val="32"/>
          <w:highlight w:val="none"/>
        </w:rPr>
        <w:t>裁</w:t>
      </w:r>
      <w:r>
        <w:rPr>
          <w:rFonts w:hint="eastAsia" w:ascii="仿宋_GB2312" w:hAnsi="仿宋_GB2312" w:eastAsia="仿宋_GB2312" w:cs="仿宋_GB2312"/>
          <w:color w:val="auto"/>
          <w:spacing w:val="9"/>
          <w:sz w:val="32"/>
          <w:szCs w:val="32"/>
          <w:highlight w:val="none"/>
        </w:rPr>
        <w:t>判</w:t>
      </w:r>
      <w:r>
        <w:rPr>
          <w:rFonts w:hint="eastAsia" w:ascii="仿宋_GB2312" w:hAnsi="仿宋_GB2312" w:eastAsia="仿宋_GB2312" w:cs="仿宋_GB2312"/>
          <w:color w:val="auto"/>
          <w:spacing w:val="8"/>
          <w:sz w:val="32"/>
          <w:szCs w:val="32"/>
          <w:highlight w:val="none"/>
        </w:rPr>
        <w:t>主观的评价只是对选手操作完成情况的评级，最终的分</w:t>
      </w:r>
      <w:r>
        <w:rPr>
          <w:rFonts w:hint="eastAsia" w:ascii="仿宋_GB2312" w:hAnsi="仿宋_GB2312" w:eastAsia="仿宋_GB2312" w:cs="仿宋_GB2312"/>
          <w:color w:val="auto"/>
          <w:spacing w:val="11"/>
          <w:sz w:val="32"/>
          <w:szCs w:val="32"/>
          <w:highlight w:val="none"/>
        </w:rPr>
        <w:t>数</w:t>
      </w:r>
      <w:r>
        <w:rPr>
          <w:rFonts w:hint="eastAsia" w:ascii="仿宋_GB2312" w:hAnsi="仿宋_GB2312" w:eastAsia="仿宋_GB2312" w:cs="仿宋_GB2312"/>
          <w:color w:val="auto"/>
          <w:spacing w:val="8"/>
          <w:sz w:val="32"/>
          <w:szCs w:val="32"/>
          <w:highlight w:val="none"/>
        </w:rPr>
        <w:t>需要公式进行计算，具体权重见下表。</w:t>
      </w:r>
    </w:p>
    <w:tbl>
      <w:tblPr>
        <w:tblStyle w:val="29"/>
        <w:tblpPr w:leftFromText="180" w:rightFromText="180" w:vertAnchor="text" w:horzAnchor="page" w:tblpX="1687" w:tblpY="561"/>
        <w:tblOverlap w:val="never"/>
        <w:tblW w:w="82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4"/>
        <w:gridCol w:w="6496"/>
      </w:tblGrid>
      <w:tr w14:paraId="1DAD4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784" w:type="dxa"/>
          </w:tcPr>
          <w:p w14:paraId="7FF91DD2">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权重分值</w:t>
            </w:r>
          </w:p>
        </w:tc>
        <w:tc>
          <w:tcPr>
            <w:tcW w:w="6496" w:type="dxa"/>
          </w:tcPr>
          <w:p w14:paraId="30781ACE">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要求描述</w:t>
            </w:r>
          </w:p>
        </w:tc>
      </w:tr>
      <w:tr w14:paraId="14CB1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784" w:type="dxa"/>
          </w:tcPr>
          <w:p w14:paraId="546F11D0">
            <w:pPr>
              <w:keepNext w:val="0"/>
              <w:keepLines w:val="0"/>
              <w:pageBreakBefore w:val="0"/>
              <w:widowControl w:val="0"/>
              <w:kinsoku/>
              <w:wordWrap/>
              <w:overflowPunct/>
              <w:topLinePunct w:val="0"/>
              <w:autoSpaceDE/>
              <w:autoSpaceDN/>
              <w:bidi w:val="0"/>
              <w:adjustRightInd w:val="0"/>
              <w:snapToGrid w:val="0"/>
              <w:spacing w:line="600" w:lineRule="exact"/>
              <w:ind w:left="572"/>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8"/>
                <w:sz w:val="32"/>
                <w:szCs w:val="32"/>
                <w:highlight w:val="none"/>
              </w:rPr>
              <w:t>0</w:t>
            </w:r>
            <w:r>
              <w:rPr>
                <w:rFonts w:hint="eastAsia" w:ascii="仿宋_GB2312" w:hAnsi="仿宋_GB2312" w:eastAsia="仿宋_GB2312" w:cs="仿宋_GB2312"/>
                <w:color w:val="auto"/>
                <w:spacing w:val="-16"/>
                <w:sz w:val="32"/>
                <w:szCs w:val="32"/>
                <w:highlight w:val="none"/>
              </w:rPr>
              <w:t xml:space="preserve"> 分</w:t>
            </w:r>
          </w:p>
        </w:tc>
        <w:tc>
          <w:tcPr>
            <w:tcW w:w="6496" w:type="dxa"/>
          </w:tcPr>
          <w:p w14:paraId="684233C4">
            <w:pPr>
              <w:keepNext w:val="0"/>
              <w:keepLines w:val="0"/>
              <w:pageBreakBefore w:val="0"/>
              <w:widowControl w:val="0"/>
              <w:kinsoku/>
              <w:wordWrap/>
              <w:overflowPunct/>
              <w:topLinePunct w:val="0"/>
              <w:autoSpaceDE/>
              <w:autoSpaceDN/>
              <w:bidi w:val="0"/>
              <w:adjustRightInd w:val="0"/>
              <w:snapToGrid w:val="0"/>
              <w:spacing w:line="600" w:lineRule="exact"/>
              <w:ind w:left="212"/>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6"/>
                <w:sz w:val="32"/>
                <w:szCs w:val="32"/>
                <w:highlight w:val="none"/>
              </w:rPr>
              <w:t>各</w:t>
            </w:r>
            <w:r>
              <w:rPr>
                <w:rFonts w:hint="eastAsia" w:ascii="仿宋_GB2312" w:hAnsi="仿宋_GB2312" w:eastAsia="仿宋_GB2312" w:cs="仿宋_GB2312"/>
                <w:color w:val="auto"/>
                <w:spacing w:val="5"/>
                <w:sz w:val="32"/>
                <w:szCs w:val="32"/>
                <w:highlight w:val="none"/>
              </w:rPr>
              <w:t>方面均低于行业标准</w:t>
            </w:r>
          </w:p>
        </w:tc>
      </w:tr>
      <w:tr w14:paraId="47984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784" w:type="dxa"/>
          </w:tcPr>
          <w:p w14:paraId="4B9CA6F4">
            <w:pPr>
              <w:keepNext w:val="0"/>
              <w:keepLines w:val="0"/>
              <w:pageBreakBefore w:val="0"/>
              <w:widowControl w:val="0"/>
              <w:kinsoku/>
              <w:wordWrap/>
              <w:overflowPunct/>
              <w:topLinePunct w:val="0"/>
              <w:autoSpaceDE/>
              <w:autoSpaceDN/>
              <w:bidi w:val="0"/>
              <w:adjustRightInd w:val="0"/>
              <w:snapToGrid w:val="0"/>
              <w:spacing w:line="600" w:lineRule="exact"/>
              <w:ind w:left="587"/>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3"/>
                <w:sz w:val="32"/>
                <w:szCs w:val="32"/>
                <w:highlight w:val="none"/>
              </w:rPr>
              <w:t>1</w:t>
            </w:r>
            <w:r>
              <w:rPr>
                <w:rFonts w:hint="eastAsia" w:ascii="仿宋_GB2312" w:hAnsi="仿宋_GB2312" w:eastAsia="仿宋_GB2312" w:cs="仿宋_GB2312"/>
                <w:color w:val="auto"/>
                <w:spacing w:val="-21"/>
                <w:sz w:val="32"/>
                <w:szCs w:val="32"/>
                <w:highlight w:val="none"/>
              </w:rPr>
              <w:t xml:space="preserve"> 分</w:t>
            </w:r>
          </w:p>
        </w:tc>
        <w:tc>
          <w:tcPr>
            <w:tcW w:w="6496" w:type="dxa"/>
          </w:tcPr>
          <w:p w14:paraId="08E5D32E">
            <w:pPr>
              <w:keepNext w:val="0"/>
              <w:keepLines w:val="0"/>
              <w:pageBreakBefore w:val="0"/>
              <w:widowControl w:val="0"/>
              <w:kinsoku/>
              <w:wordWrap/>
              <w:overflowPunct/>
              <w:topLinePunct w:val="0"/>
              <w:autoSpaceDE/>
              <w:autoSpaceDN/>
              <w:bidi w:val="0"/>
              <w:adjustRightInd w:val="0"/>
              <w:snapToGrid w:val="0"/>
              <w:spacing w:line="600" w:lineRule="exact"/>
              <w:ind w:left="211"/>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5"/>
                <w:sz w:val="32"/>
                <w:szCs w:val="32"/>
                <w:highlight w:val="none"/>
              </w:rPr>
              <w:t>符合行业标</w:t>
            </w:r>
            <w:r>
              <w:rPr>
                <w:rFonts w:hint="eastAsia" w:ascii="仿宋_GB2312" w:hAnsi="仿宋_GB2312" w:eastAsia="仿宋_GB2312" w:cs="仿宋_GB2312"/>
                <w:color w:val="auto"/>
                <w:spacing w:val="4"/>
                <w:sz w:val="32"/>
                <w:szCs w:val="32"/>
                <w:highlight w:val="none"/>
              </w:rPr>
              <w:t>准</w:t>
            </w:r>
          </w:p>
        </w:tc>
      </w:tr>
      <w:tr w14:paraId="749AC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784" w:type="dxa"/>
          </w:tcPr>
          <w:p w14:paraId="7B99DD54">
            <w:pPr>
              <w:keepNext w:val="0"/>
              <w:keepLines w:val="0"/>
              <w:pageBreakBefore w:val="0"/>
              <w:widowControl w:val="0"/>
              <w:kinsoku/>
              <w:wordWrap/>
              <w:overflowPunct/>
              <w:topLinePunct w:val="0"/>
              <w:autoSpaceDE/>
              <w:autoSpaceDN/>
              <w:bidi w:val="0"/>
              <w:adjustRightInd w:val="0"/>
              <w:snapToGrid w:val="0"/>
              <w:spacing w:line="600" w:lineRule="exact"/>
              <w:ind w:left="573"/>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9"/>
                <w:sz w:val="32"/>
                <w:szCs w:val="32"/>
                <w:highlight w:val="none"/>
              </w:rPr>
              <w:t>2</w:t>
            </w:r>
            <w:r>
              <w:rPr>
                <w:rFonts w:hint="eastAsia" w:ascii="仿宋_GB2312" w:hAnsi="仿宋_GB2312" w:eastAsia="仿宋_GB2312" w:cs="仿宋_GB2312"/>
                <w:color w:val="auto"/>
                <w:spacing w:val="-16"/>
                <w:sz w:val="32"/>
                <w:szCs w:val="32"/>
                <w:highlight w:val="none"/>
              </w:rPr>
              <w:t xml:space="preserve"> 分</w:t>
            </w:r>
          </w:p>
        </w:tc>
        <w:tc>
          <w:tcPr>
            <w:tcW w:w="6496" w:type="dxa"/>
          </w:tcPr>
          <w:p w14:paraId="20D783EC">
            <w:pPr>
              <w:keepNext w:val="0"/>
              <w:keepLines w:val="0"/>
              <w:pageBreakBefore w:val="0"/>
              <w:widowControl w:val="0"/>
              <w:kinsoku/>
              <w:wordWrap/>
              <w:overflowPunct/>
              <w:topLinePunct w:val="0"/>
              <w:autoSpaceDE/>
              <w:autoSpaceDN/>
              <w:bidi w:val="0"/>
              <w:adjustRightInd w:val="0"/>
              <w:snapToGrid w:val="0"/>
              <w:spacing w:line="600" w:lineRule="exact"/>
              <w:ind w:left="208"/>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达到</w:t>
            </w:r>
            <w:r>
              <w:rPr>
                <w:rFonts w:hint="eastAsia" w:ascii="仿宋_GB2312" w:hAnsi="仿宋_GB2312" w:eastAsia="仿宋_GB2312" w:cs="仿宋_GB2312"/>
                <w:color w:val="auto"/>
                <w:spacing w:val="9"/>
                <w:sz w:val="32"/>
                <w:szCs w:val="32"/>
                <w:highlight w:val="none"/>
              </w:rPr>
              <w:t>行</w:t>
            </w:r>
            <w:r>
              <w:rPr>
                <w:rFonts w:hint="eastAsia" w:ascii="仿宋_GB2312" w:hAnsi="仿宋_GB2312" w:eastAsia="仿宋_GB2312" w:cs="仿宋_GB2312"/>
                <w:color w:val="auto"/>
                <w:spacing w:val="5"/>
                <w:sz w:val="32"/>
                <w:szCs w:val="32"/>
                <w:highlight w:val="none"/>
              </w:rPr>
              <w:t>业标准，并在特定方面超过行业标准</w:t>
            </w:r>
          </w:p>
        </w:tc>
      </w:tr>
      <w:tr w14:paraId="0DE1F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784" w:type="dxa"/>
          </w:tcPr>
          <w:p w14:paraId="4E88D6EF">
            <w:pPr>
              <w:keepNext w:val="0"/>
              <w:keepLines w:val="0"/>
              <w:pageBreakBefore w:val="0"/>
              <w:widowControl w:val="0"/>
              <w:kinsoku/>
              <w:wordWrap/>
              <w:overflowPunct/>
              <w:topLinePunct w:val="0"/>
              <w:autoSpaceDE/>
              <w:autoSpaceDN/>
              <w:bidi w:val="0"/>
              <w:adjustRightInd w:val="0"/>
              <w:snapToGrid w:val="0"/>
              <w:spacing w:line="600" w:lineRule="exact"/>
              <w:ind w:left="574"/>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8"/>
                <w:sz w:val="32"/>
                <w:szCs w:val="32"/>
                <w:highlight w:val="none"/>
              </w:rPr>
              <w:t>3</w:t>
            </w:r>
            <w:r>
              <w:rPr>
                <w:rFonts w:hint="eastAsia" w:ascii="仿宋_GB2312" w:hAnsi="仿宋_GB2312" w:eastAsia="仿宋_GB2312" w:cs="仿宋_GB2312"/>
                <w:color w:val="auto"/>
                <w:spacing w:val="-17"/>
                <w:sz w:val="32"/>
                <w:szCs w:val="32"/>
                <w:highlight w:val="none"/>
              </w:rPr>
              <w:t xml:space="preserve"> 分</w:t>
            </w:r>
          </w:p>
        </w:tc>
        <w:tc>
          <w:tcPr>
            <w:tcW w:w="6496" w:type="dxa"/>
          </w:tcPr>
          <w:p w14:paraId="6DCA5FCF">
            <w:pPr>
              <w:keepNext w:val="0"/>
              <w:keepLines w:val="0"/>
              <w:pageBreakBefore w:val="0"/>
              <w:widowControl w:val="0"/>
              <w:kinsoku/>
              <w:wordWrap/>
              <w:overflowPunct/>
              <w:topLinePunct w:val="0"/>
              <w:autoSpaceDE/>
              <w:autoSpaceDN/>
              <w:bidi w:val="0"/>
              <w:adjustRightInd w:val="0"/>
              <w:snapToGrid w:val="0"/>
              <w:spacing w:line="600" w:lineRule="exact"/>
              <w:ind w:left="211"/>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完</w:t>
            </w:r>
            <w:r>
              <w:rPr>
                <w:rFonts w:hint="eastAsia" w:ascii="仿宋_GB2312" w:hAnsi="仿宋_GB2312" w:eastAsia="仿宋_GB2312" w:cs="仿宋_GB2312"/>
                <w:color w:val="auto"/>
                <w:spacing w:val="8"/>
                <w:sz w:val="32"/>
                <w:szCs w:val="32"/>
                <w:highlight w:val="none"/>
              </w:rPr>
              <w:t>全</w:t>
            </w:r>
            <w:r>
              <w:rPr>
                <w:rFonts w:hint="eastAsia" w:ascii="仿宋_GB2312" w:hAnsi="仿宋_GB2312" w:eastAsia="仿宋_GB2312" w:cs="仿宋_GB2312"/>
                <w:color w:val="auto"/>
                <w:spacing w:val="5"/>
                <w:sz w:val="32"/>
                <w:szCs w:val="32"/>
                <w:highlight w:val="none"/>
              </w:rPr>
              <w:t>超过行业标准，被评定为优秀</w:t>
            </w:r>
          </w:p>
        </w:tc>
      </w:tr>
    </w:tbl>
    <w:p w14:paraId="632BE953">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kern w:val="2"/>
          <w:sz w:val="32"/>
          <w:szCs w:val="32"/>
          <w:highlight w:val="none"/>
          <w:lang w:val="en-US" w:eastAsia="zh-CN" w:bidi="ar-SA"/>
        </w:rPr>
        <w:t>表4 评价评分等级及要求</w:t>
      </w:r>
    </w:p>
    <w:p w14:paraId="5920D7F0">
      <w:pPr>
        <w:keepNext w:val="0"/>
        <w:keepLines w:val="0"/>
        <w:pageBreakBefore w:val="0"/>
        <w:widowControl w:val="0"/>
        <w:kinsoku/>
        <w:wordWrap/>
        <w:overflowPunct/>
        <w:topLinePunct w:val="0"/>
        <w:autoSpaceDE/>
        <w:autoSpaceDN/>
        <w:bidi w:val="0"/>
        <w:adjustRightInd w:val="0"/>
        <w:snapToGrid w:val="0"/>
        <w:spacing w:line="600" w:lineRule="exact"/>
        <w:ind w:left="680"/>
        <w:textAlignment w:val="auto"/>
        <w:outlineLvl w:val="3"/>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（2）测量评分</w:t>
      </w:r>
    </w:p>
    <w:p w14:paraId="0B1E7E13">
      <w:pPr>
        <w:keepNext w:val="0"/>
        <w:keepLines w:val="0"/>
        <w:pageBreakBefore w:val="0"/>
        <w:widowControl w:val="0"/>
        <w:kinsoku/>
        <w:wordWrap/>
        <w:overflowPunct/>
        <w:topLinePunct w:val="0"/>
        <w:autoSpaceDE/>
        <w:autoSpaceDN/>
        <w:bidi w:val="0"/>
        <w:adjustRightInd w:val="0"/>
        <w:snapToGrid w:val="0"/>
        <w:spacing w:line="600" w:lineRule="exact"/>
        <w:ind w:left="40" w:right="90" w:firstLine="642"/>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sz w:val="32"/>
          <w:szCs w:val="32"/>
          <w:highlight w:val="none"/>
        </w:rPr>
        <w:t>测量评分只能选择得分或不得分，裁判根据选手完</w:t>
      </w:r>
      <w:r>
        <w:rPr>
          <w:rFonts w:hint="eastAsia" w:ascii="仿宋_GB2312" w:hAnsi="仿宋_GB2312" w:eastAsia="仿宋_GB2312" w:cs="仿宋_GB2312"/>
          <w:color w:val="auto"/>
          <w:spacing w:val="10"/>
          <w:sz w:val="32"/>
          <w:szCs w:val="32"/>
          <w:highlight w:val="none"/>
        </w:rPr>
        <w:t>成</w:t>
      </w:r>
      <w:r>
        <w:rPr>
          <w:rFonts w:hint="eastAsia" w:ascii="仿宋_GB2312" w:hAnsi="仿宋_GB2312" w:eastAsia="仿宋_GB2312" w:cs="仿宋_GB2312"/>
          <w:color w:val="auto"/>
          <w:spacing w:val="8"/>
          <w:sz w:val="32"/>
          <w:szCs w:val="32"/>
          <w:highlight w:val="none"/>
        </w:rPr>
        <w:t>情况和评分标准进行判定打分。测量评分方式：按模块设置若干个评分组，每组由3名及以上裁判构成。每个组所有裁判一起商议，在对该选手在该项中的实际得分达成一致后最终只给出一个分值。若裁判数量较多，也可以另定分组模式。</w:t>
      </w:r>
    </w:p>
    <w:p w14:paraId="2B50C1CB">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表5 测量评分样例：样品中组分含量的测定</w:t>
      </w:r>
    </w:p>
    <w:tbl>
      <w:tblPr>
        <w:tblStyle w:val="29"/>
        <w:tblW w:w="8303"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3"/>
        <w:gridCol w:w="2213"/>
        <w:gridCol w:w="1000"/>
        <w:gridCol w:w="1975"/>
        <w:gridCol w:w="1682"/>
      </w:tblGrid>
      <w:tr w14:paraId="79EAE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33" w:type="dxa"/>
            <w:vAlign w:val="center"/>
          </w:tcPr>
          <w:p w14:paraId="479E65FE">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类型</w:t>
            </w:r>
          </w:p>
        </w:tc>
        <w:tc>
          <w:tcPr>
            <w:tcW w:w="2213" w:type="dxa"/>
            <w:vAlign w:val="center"/>
          </w:tcPr>
          <w:p w14:paraId="10706836">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示例</w:t>
            </w:r>
          </w:p>
        </w:tc>
        <w:tc>
          <w:tcPr>
            <w:tcW w:w="1000" w:type="dxa"/>
            <w:vAlign w:val="center"/>
          </w:tcPr>
          <w:p w14:paraId="1D30B51D">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配分</w:t>
            </w:r>
          </w:p>
        </w:tc>
        <w:tc>
          <w:tcPr>
            <w:tcW w:w="1975" w:type="dxa"/>
            <w:vAlign w:val="center"/>
          </w:tcPr>
          <w:p w14:paraId="0B8F7DF5">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正确完成得分</w:t>
            </w:r>
          </w:p>
        </w:tc>
        <w:tc>
          <w:tcPr>
            <w:tcW w:w="1682" w:type="dxa"/>
            <w:vAlign w:val="center"/>
          </w:tcPr>
          <w:p w14:paraId="3ECCBD4F">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未完成得分</w:t>
            </w:r>
          </w:p>
        </w:tc>
      </w:tr>
      <w:tr w14:paraId="59A89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1433" w:type="dxa"/>
            <w:vAlign w:val="center"/>
          </w:tcPr>
          <w:p w14:paraId="54773820">
            <w:pPr>
              <w:keepNext w:val="0"/>
              <w:keepLines w:val="0"/>
              <w:pageBreakBefore w:val="0"/>
              <w:widowControl w:val="0"/>
              <w:kinsoku/>
              <w:wordWrap/>
              <w:overflowPunct/>
              <w:topLinePunct w:val="0"/>
              <w:autoSpaceDE/>
              <w:autoSpaceDN/>
              <w:bidi w:val="0"/>
              <w:adjustRightInd w:val="0"/>
              <w:snapToGrid w:val="0"/>
              <w:spacing w:line="600" w:lineRule="exact"/>
              <w:ind w:left="116"/>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9"/>
                <w:sz w:val="32"/>
                <w:szCs w:val="32"/>
                <w:highlight w:val="none"/>
              </w:rPr>
              <w:t>满</w:t>
            </w:r>
            <w:r>
              <w:rPr>
                <w:rFonts w:hint="eastAsia" w:ascii="仿宋_GB2312" w:hAnsi="仿宋_GB2312" w:eastAsia="仿宋_GB2312" w:cs="仿宋_GB2312"/>
                <w:color w:val="auto"/>
                <w:spacing w:val="6"/>
                <w:sz w:val="32"/>
                <w:szCs w:val="32"/>
                <w:highlight w:val="none"/>
              </w:rPr>
              <w:t>分或零分</w:t>
            </w:r>
          </w:p>
        </w:tc>
        <w:tc>
          <w:tcPr>
            <w:tcW w:w="2213" w:type="dxa"/>
            <w:vAlign w:val="center"/>
          </w:tcPr>
          <w:p w14:paraId="0055C3F2">
            <w:pPr>
              <w:keepNext w:val="0"/>
              <w:keepLines w:val="0"/>
              <w:pageBreakBefore w:val="0"/>
              <w:widowControl w:val="0"/>
              <w:kinsoku/>
              <w:wordWrap/>
              <w:overflowPunct/>
              <w:topLinePunct w:val="0"/>
              <w:autoSpaceDE/>
              <w:autoSpaceDN/>
              <w:bidi w:val="0"/>
              <w:adjustRightInd w:val="0"/>
              <w:snapToGrid w:val="0"/>
              <w:spacing w:line="600" w:lineRule="exact"/>
              <w:ind w:left="115"/>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滴</w:t>
            </w:r>
            <w:r>
              <w:rPr>
                <w:rFonts w:hint="eastAsia" w:ascii="仿宋_GB2312" w:hAnsi="仿宋_GB2312" w:eastAsia="仿宋_GB2312" w:cs="仿宋_GB2312"/>
                <w:color w:val="auto"/>
                <w:spacing w:val="7"/>
                <w:sz w:val="32"/>
                <w:szCs w:val="32"/>
                <w:highlight w:val="none"/>
              </w:rPr>
              <w:t>定管操作</w:t>
            </w:r>
          </w:p>
        </w:tc>
        <w:tc>
          <w:tcPr>
            <w:tcW w:w="1000" w:type="dxa"/>
            <w:vAlign w:val="center"/>
          </w:tcPr>
          <w:p w14:paraId="3BEA1DB1">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1.00</w:t>
            </w:r>
          </w:p>
        </w:tc>
        <w:tc>
          <w:tcPr>
            <w:tcW w:w="1975" w:type="dxa"/>
            <w:vAlign w:val="center"/>
          </w:tcPr>
          <w:p w14:paraId="006006F9">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pacing w:val="-2"/>
                <w:sz w:val="32"/>
                <w:szCs w:val="32"/>
                <w:highlight w:val="none"/>
              </w:rPr>
            </w:pPr>
            <w:r>
              <w:rPr>
                <w:rFonts w:hint="eastAsia" w:ascii="仿宋_GB2312" w:hAnsi="仿宋_GB2312" w:eastAsia="仿宋_GB2312" w:cs="仿宋_GB2312"/>
                <w:color w:val="auto"/>
                <w:spacing w:val="-2"/>
                <w:sz w:val="32"/>
                <w:szCs w:val="32"/>
                <w:highlight w:val="none"/>
              </w:rPr>
              <w:t>1.00</w:t>
            </w:r>
          </w:p>
        </w:tc>
        <w:tc>
          <w:tcPr>
            <w:tcW w:w="1682" w:type="dxa"/>
            <w:vAlign w:val="center"/>
          </w:tcPr>
          <w:p w14:paraId="3A53D81B">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pacing w:val="-2"/>
                <w:sz w:val="32"/>
                <w:szCs w:val="32"/>
                <w:highlight w:val="none"/>
              </w:rPr>
            </w:pPr>
            <w:r>
              <w:rPr>
                <w:rFonts w:hint="eastAsia" w:ascii="仿宋_GB2312" w:hAnsi="仿宋_GB2312" w:eastAsia="仿宋_GB2312" w:cs="仿宋_GB2312"/>
                <w:color w:val="auto"/>
                <w:spacing w:val="-2"/>
                <w:sz w:val="32"/>
                <w:szCs w:val="32"/>
                <w:highlight w:val="none"/>
              </w:rPr>
              <w:t>0</w:t>
            </w:r>
          </w:p>
        </w:tc>
      </w:tr>
      <w:tr w14:paraId="0C240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1433" w:type="dxa"/>
            <w:vMerge w:val="restart"/>
            <w:tcBorders>
              <w:bottom w:val="nil"/>
            </w:tcBorders>
            <w:vAlign w:val="center"/>
          </w:tcPr>
          <w:p w14:paraId="4E17E591">
            <w:pPr>
              <w:keepNext w:val="0"/>
              <w:keepLines w:val="0"/>
              <w:pageBreakBefore w:val="0"/>
              <w:widowControl w:val="0"/>
              <w:kinsoku/>
              <w:wordWrap/>
              <w:overflowPunct/>
              <w:topLinePunct w:val="0"/>
              <w:autoSpaceDE/>
              <w:autoSpaceDN/>
              <w:bidi w:val="0"/>
              <w:adjustRightInd w:val="0"/>
              <w:snapToGrid w:val="0"/>
              <w:spacing w:line="600" w:lineRule="exact"/>
              <w:ind w:left="119"/>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sz w:val="32"/>
                <w:szCs w:val="32"/>
                <w:highlight w:val="none"/>
              </w:rPr>
              <w:t>从</w:t>
            </w:r>
            <w:r>
              <w:rPr>
                <w:rFonts w:hint="eastAsia" w:ascii="仿宋_GB2312" w:hAnsi="仿宋_GB2312" w:eastAsia="仿宋_GB2312" w:cs="仿宋_GB2312"/>
                <w:color w:val="auto"/>
                <w:spacing w:val="6"/>
                <w:sz w:val="32"/>
                <w:szCs w:val="32"/>
                <w:highlight w:val="none"/>
              </w:rPr>
              <w:t>满分中扣除</w:t>
            </w:r>
          </w:p>
        </w:tc>
        <w:tc>
          <w:tcPr>
            <w:tcW w:w="2213" w:type="dxa"/>
            <w:vMerge w:val="restart"/>
            <w:tcBorders>
              <w:bottom w:val="nil"/>
            </w:tcBorders>
            <w:vAlign w:val="center"/>
          </w:tcPr>
          <w:p w14:paraId="4FB1C831">
            <w:pPr>
              <w:keepNext w:val="0"/>
              <w:keepLines w:val="0"/>
              <w:pageBreakBefore w:val="0"/>
              <w:widowControl w:val="0"/>
              <w:kinsoku/>
              <w:wordWrap/>
              <w:overflowPunct/>
              <w:topLinePunct w:val="0"/>
              <w:autoSpaceDE/>
              <w:autoSpaceDN/>
              <w:bidi w:val="0"/>
              <w:adjustRightInd w:val="0"/>
              <w:snapToGrid w:val="0"/>
              <w:spacing w:line="600" w:lineRule="exact"/>
              <w:ind w:left="113" w:right="105" w:firstLine="5"/>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3"/>
                <w:sz w:val="32"/>
                <w:szCs w:val="32"/>
                <w:highlight w:val="none"/>
              </w:rPr>
              <w:t>实验过程的记录</w:t>
            </w:r>
            <w:r>
              <w:rPr>
                <w:rFonts w:hint="eastAsia" w:ascii="仿宋_GB2312" w:hAnsi="仿宋_GB2312" w:eastAsia="仿宋_GB2312" w:cs="仿宋_GB2312"/>
                <w:color w:val="auto"/>
                <w:spacing w:val="12"/>
                <w:sz w:val="32"/>
                <w:szCs w:val="32"/>
                <w:highlight w:val="none"/>
              </w:rPr>
              <w:t>，</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8"/>
                <w:sz w:val="32"/>
                <w:szCs w:val="32"/>
                <w:highlight w:val="none"/>
              </w:rPr>
              <w:t>从</w:t>
            </w:r>
            <w:r>
              <w:rPr>
                <w:rFonts w:hint="eastAsia" w:ascii="仿宋_GB2312" w:hAnsi="仿宋_GB2312" w:eastAsia="仿宋_GB2312" w:cs="仿宋_GB2312"/>
                <w:color w:val="auto"/>
                <w:spacing w:val="13"/>
                <w:sz w:val="32"/>
                <w:szCs w:val="32"/>
                <w:highlight w:val="none"/>
              </w:rPr>
              <w:t>有缺项和条理两</w:t>
            </w:r>
            <w:r>
              <w:rPr>
                <w:rFonts w:hint="eastAsia" w:ascii="仿宋_GB2312" w:hAnsi="仿宋_GB2312" w:eastAsia="仿宋_GB2312" w:cs="仿宋_GB2312"/>
                <w:color w:val="auto"/>
                <w:spacing w:val="8"/>
                <w:sz w:val="32"/>
                <w:szCs w:val="32"/>
                <w:highlight w:val="none"/>
              </w:rPr>
              <w:t>个维度评价</w:t>
            </w:r>
          </w:p>
        </w:tc>
        <w:tc>
          <w:tcPr>
            <w:tcW w:w="1000" w:type="dxa"/>
            <w:vAlign w:val="center"/>
          </w:tcPr>
          <w:p w14:paraId="6EDCA570">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2.0</w:t>
            </w:r>
            <w:r>
              <w:rPr>
                <w:rFonts w:hint="eastAsia" w:ascii="仿宋_GB2312" w:hAnsi="仿宋_GB2312" w:eastAsia="仿宋_GB2312" w:cs="仿宋_GB2312"/>
                <w:color w:val="auto"/>
                <w:spacing w:val="1"/>
                <w:sz w:val="32"/>
                <w:szCs w:val="32"/>
                <w:highlight w:val="none"/>
              </w:rPr>
              <w:t>0</w:t>
            </w:r>
          </w:p>
        </w:tc>
        <w:tc>
          <w:tcPr>
            <w:tcW w:w="1975" w:type="dxa"/>
            <w:vAlign w:val="center"/>
          </w:tcPr>
          <w:p w14:paraId="229AF9B7">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2.0</w:t>
            </w:r>
            <w:r>
              <w:rPr>
                <w:rFonts w:hint="eastAsia" w:ascii="仿宋_GB2312" w:hAnsi="仿宋_GB2312" w:eastAsia="仿宋_GB2312" w:cs="仿宋_GB2312"/>
                <w:color w:val="auto"/>
                <w:spacing w:val="1"/>
                <w:sz w:val="32"/>
                <w:szCs w:val="32"/>
                <w:highlight w:val="none"/>
              </w:rPr>
              <w:t>0</w:t>
            </w:r>
          </w:p>
        </w:tc>
        <w:tc>
          <w:tcPr>
            <w:tcW w:w="1682" w:type="dxa"/>
            <w:vAlign w:val="center"/>
          </w:tcPr>
          <w:p w14:paraId="14A56715">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3"/>
                <w:position w:val="-1"/>
                <w:sz w:val="32"/>
                <w:szCs w:val="32"/>
                <w:highlight w:val="none"/>
              </w:rPr>
              <w:t>0</w:t>
            </w:r>
            <w:r>
              <w:rPr>
                <w:rFonts w:hint="default" w:ascii="Times New Roman" w:hAnsi="Times New Roman" w:eastAsia="仿宋_GB2312" w:cs="Times New Roman"/>
                <w:color w:val="auto"/>
                <w:spacing w:val="23"/>
                <w:position w:val="-1"/>
                <w:sz w:val="32"/>
                <w:szCs w:val="32"/>
                <w:highlight w:val="none"/>
                <w:lang w:val="en-US" w:eastAsia="zh-CN"/>
              </w:rPr>
              <w:t>~</w:t>
            </w:r>
            <w:r>
              <w:rPr>
                <w:rFonts w:hint="eastAsia" w:ascii="仿宋_GB2312" w:hAnsi="仿宋_GB2312" w:eastAsia="仿宋_GB2312" w:cs="仿宋_GB2312"/>
                <w:color w:val="auto"/>
                <w:spacing w:val="23"/>
                <w:position w:val="-1"/>
                <w:sz w:val="32"/>
                <w:szCs w:val="32"/>
                <w:highlight w:val="none"/>
              </w:rPr>
              <w:t>2.00</w:t>
            </w:r>
          </w:p>
        </w:tc>
      </w:tr>
      <w:tr w14:paraId="1B60B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433" w:type="dxa"/>
            <w:vMerge w:val="continue"/>
            <w:tcBorders>
              <w:top w:val="nil"/>
            </w:tcBorders>
            <w:vAlign w:val="center"/>
          </w:tcPr>
          <w:p w14:paraId="377B77C4">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p>
        </w:tc>
        <w:tc>
          <w:tcPr>
            <w:tcW w:w="2213" w:type="dxa"/>
            <w:vMerge w:val="continue"/>
            <w:tcBorders>
              <w:top w:val="nil"/>
            </w:tcBorders>
            <w:vAlign w:val="center"/>
          </w:tcPr>
          <w:p w14:paraId="34C6A351">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highlight w:val="none"/>
              </w:rPr>
            </w:pPr>
          </w:p>
        </w:tc>
        <w:tc>
          <w:tcPr>
            <w:tcW w:w="1000" w:type="dxa"/>
            <w:vAlign w:val="center"/>
          </w:tcPr>
          <w:p w14:paraId="5302E309">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1.00</w:t>
            </w:r>
          </w:p>
        </w:tc>
        <w:tc>
          <w:tcPr>
            <w:tcW w:w="1975" w:type="dxa"/>
            <w:vAlign w:val="center"/>
          </w:tcPr>
          <w:p w14:paraId="6652136C">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1.00</w:t>
            </w:r>
          </w:p>
        </w:tc>
        <w:tc>
          <w:tcPr>
            <w:tcW w:w="1682" w:type="dxa"/>
            <w:vAlign w:val="center"/>
          </w:tcPr>
          <w:p w14:paraId="028890DC">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3"/>
                <w:position w:val="-1"/>
                <w:sz w:val="32"/>
                <w:szCs w:val="32"/>
                <w:highlight w:val="none"/>
              </w:rPr>
              <w:t>0</w:t>
            </w:r>
            <w:r>
              <w:rPr>
                <w:rFonts w:hint="eastAsia" w:ascii="Times New Roman" w:hAnsi="Times New Roman" w:eastAsia="仿宋_GB2312" w:cs="Times New Roman"/>
                <w:color w:val="auto"/>
                <w:spacing w:val="23"/>
                <w:position w:val="-1"/>
                <w:sz w:val="32"/>
                <w:szCs w:val="32"/>
                <w:highlight w:val="none"/>
                <w:lang w:val="en-US" w:eastAsia="zh-CN"/>
              </w:rPr>
              <w:t>~</w:t>
            </w:r>
            <w:r>
              <w:rPr>
                <w:rFonts w:hint="eastAsia" w:ascii="仿宋_GB2312" w:hAnsi="仿宋_GB2312" w:eastAsia="仿宋_GB2312" w:cs="仿宋_GB2312"/>
                <w:color w:val="auto"/>
                <w:spacing w:val="23"/>
                <w:position w:val="-1"/>
                <w:sz w:val="32"/>
                <w:szCs w:val="32"/>
                <w:highlight w:val="none"/>
              </w:rPr>
              <w:t>1.00</w:t>
            </w:r>
          </w:p>
        </w:tc>
      </w:tr>
      <w:tr w14:paraId="2211D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433" w:type="dxa"/>
            <w:vMerge w:val="restart"/>
            <w:tcBorders>
              <w:bottom w:val="nil"/>
            </w:tcBorders>
            <w:vAlign w:val="center"/>
          </w:tcPr>
          <w:p w14:paraId="30E7ACAF">
            <w:pPr>
              <w:keepNext w:val="0"/>
              <w:keepLines w:val="0"/>
              <w:pageBreakBefore w:val="0"/>
              <w:widowControl w:val="0"/>
              <w:kinsoku/>
              <w:wordWrap/>
              <w:overflowPunct/>
              <w:topLinePunct w:val="0"/>
              <w:autoSpaceDE/>
              <w:autoSpaceDN/>
              <w:bidi w:val="0"/>
              <w:adjustRightInd w:val="0"/>
              <w:snapToGrid w:val="0"/>
              <w:spacing w:line="600" w:lineRule="exact"/>
              <w:ind w:left="119"/>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sz w:val="32"/>
                <w:szCs w:val="32"/>
                <w:highlight w:val="none"/>
              </w:rPr>
              <w:t>从</w:t>
            </w:r>
            <w:r>
              <w:rPr>
                <w:rFonts w:hint="eastAsia" w:ascii="仿宋_GB2312" w:hAnsi="仿宋_GB2312" w:eastAsia="仿宋_GB2312" w:cs="仿宋_GB2312"/>
                <w:color w:val="auto"/>
                <w:spacing w:val="6"/>
                <w:sz w:val="32"/>
                <w:szCs w:val="32"/>
                <w:highlight w:val="none"/>
              </w:rPr>
              <w:t>零分开始加</w:t>
            </w:r>
          </w:p>
        </w:tc>
        <w:tc>
          <w:tcPr>
            <w:tcW w:w="2213" w:type="dxa"/>
            <w:vMerge w:val="restart"/>
            <w:tcBorders>
              <w:bottom w:val="nil"/>
            </w:tcBorders>
            <w:vAlign w:val="center"/>
          </w:tcPr>
          <w:p w14:paraId="6CEA1DC7">
            <w:pPr>
              <w:keepNext w:val="0"/>
              <w:keepLines w:val="0"/>
              <w:pageBreakBefore w:val="0"/>
              <w:widowControl w:val="0"/>
              <w:kinsoku/>
              <w:wordWrap/>
              <w:overflowPunct/>
              <w:topLinePunct w:val="0"/>
              <w:autoSpaceDE/>
              <w:autoSpaceDN/>
              <w:bidi w:val="0"/>
              <w:adjustRightInd w:val="0"/>
              <w:snapToGrid w:val="0"/>
              <w:spacing w:line="600" w:lineRule="exact"/>
              <w:ind w:left="112" w:right="105" w:firstLine="6"/>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33"/>
                <w:sz w:val="32"/>
                <w:szCs w:val="32"/>
                <w:highlight w:val="none"/>
              </w:rPr>
              <w:t>实</w:t>
            </w:r>
            <w:r>
              <w:rPr>
                <w:rFonts w:hint="eastAsia" w:ascii="仿宋_GB2312" w:hAnsi="仿宋_GB2312" w:eastAsia="仿宋_GB2312" w:cs="仿宋_GB2312"/>
                <w:color w:val="auto"/>
                <w:spacing w:val="-27"/>
                <w:sz w:val="32"/>
                <w:szCs w:val="32"/>
                <w:highlight w:val="none"/>
              </w:rPr>
              <w:t xml:space="preserve"> 验 结 果 的 准 确</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8"/>
                <w:sz w:val="32"/>
                <w:szCs w:val="32"/>
                <w:highlight w:val="none"/>
              </w:rPr>
              <w:t>度</w:t>
            </w:r>
            <w:r>
              <w:rPr>
                <w:rFonts w:hint="eastAsia" w:ascii="仿宋_GB2312" w:hAnsi="仿宋_GB2312" w:eastAsia="仿宋_GB2312" w:cs="仿宋_GB2312"/>
                <w:color w:val="auto"/>
                <w:spacing w:val="13"/>
                <w:sz w:val="32"/>
                <w:szCs w:val="32"/>
                <w:highlight w:val="none"/>
              </w:rPr>
              <w:t>，从结果的合理</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8"/>
                <w:sz w:val="32"/>
                <w:szCs w:val="32"/>
                <w:highlight w:val="none"/>
              </w:rPr>
              <w:t>性</w:t>
            </w:r>
            <w:r>
              <w:rPr>
                <w:rFonts w:hint="eastAsia" w:ascii="仿宋_GB2312" w:hAnsi="仿宋_GB2312" w:eastAsia="仿宋_GB2312" w:cs="仿宋_GB2312"/>
                <w:color w:val="auto"/>
                <w:spacing w:val="13"/>
                <w:sz w:val="32"/>
                <w:szCs w:val="32"/>
                <w:highlight w:val="none"/>
              </w:rPr>
              <w:t>和准确程度两个</w:t>
            </w:r>
            <w:r>
              <w:rPr>
                <w:rFonts w:hint="eastAsia" w:ascii="仿宋_GB2312" w:hAnsi="仿宋_GB2312" w:eastAsia="仿宋_GB2312" w:cs="仿宋_GB2312"/>
                <w:color w:val="auto"/>
                <w:spacing w:val="8"/>
                <w:sz w:val="32"/>
                <w:szCs w:val="32"/>
                <w:highlight w:val="none"/>
              </w:rPr>
              <w:t>维</w:t>
            </w:r>
            <w:r>
              <w:rPr>
                <w:rFonts w:hint="eastAsia" w:ascii="仿宋_GB2312" w:hAnsi="仿宋_GB2312" w:eastAsia="仿宋_GB2312" w:cs="仿宋_GB2312"/>
                <w:color w:val="auto"/>
                <w:spacing w:val="6"/>
                <w:sz w:val="32"/>
                <w:szCs w:val="32"/>
                <w:highlight w:val="none"/>
              </w:rPr>
              <w:t>度评价</w:t>
            </w:r>
          </w:p>
        </w:tc>
        <w:tc>
          <w:tcPr>
            <w:tcW w:w="1000" w:type="dxa"/>
            <w:vAlign w:val="center"/>
          </w:tcPr>
          <w:p w14:paraId="572B2C6D">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6.00</w:t>
            </w:r>
          </w:p>
        </w:tc>
        <w:tc>
          <w:tcPr>
            <w:tcW w:w="1975" w:type="dxa"/>
            <w:vAlign w:val="center"/>
          </w:tcPr>
          <w:p w14:paraId="2DBD9401">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6.00</w:t>
            </w:r>
          </w:p>
        </w:tc>
        <w:tc>
          <w:tcPr>
            <w:tcW w:w="1682" w:type="dxa"/>
            <w:vAlign w:val="center"/>
          </w:tcPr>
          <w:p w14:paraId="698E4132">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3"/>
                <w:position w:val="-1"/>
                <w:sz w:val="32"/>
                <w:szCs w:val="32"/>
                <w:highlight w:val="none"/>
              </w:rPr>
              <w:t>0</w:t>
            </w:r>
            <w:r>
              <w:rPr>
                <w:rFonts w:hint="eastAsia" w:ascii="Times New Roman" w:hAnsi="Times New Roman" w:eastAsia="仿宋_GB2312" w:cs="Times New Roman"/>
                <w:color w:val="auto"/>
                <w:spacing w:val="23"/>
                <w:position w:val="-1"/>
                <w:sz w:val="32"/>
                <w:szCs w:val="32"/>
                <w:highlight w:val="none"/>
                <w:lang w:val="en-US" w:eastAsia="zh-CN"/>
              </w:rPr>
              <w:t>~</w:t>
            </w:r>
            <w:r>
              <w:rPr>
                <w:rFonts w:hint="eastAsia" w:ascii="仿宋_GB2312" w:hAnsi="仿宋_GB2312" w:eastAsia="仿宋_GB2312" w:cs="仿宋_GB2312"/>
                <w:color w:val="auto"/>
                <w:spacing w:val="23"/>
                <w:position w:val="-1"/>
                <w:sz w:val="32"/>
                <w:szCs w:val="32"/>
                <w:highlight w:val="none"/>
              </w:rPr>
              <w:t>6.00</w:t>
            </w:r>
          </w:p>
        </w:tc>
      </w:tr>
      <w:tr w14:paraId="7519D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1433" w:type="dxa"/>
            <w:vMerge w:val="continue"/>
            <w:tcBorders>
              <w:top w:val="nil"/>
            </w:tcBorders>
            <w:vAlign w:val="center"/>
          </w:tcPr>
          <w:p w14:paraId="6F83A2F1">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p>
        </w:tc>
        <w:tc>
          <w:tcPr>
            <w:tcW w:w="2213" w:type="dxa"/>
            <w:vMerge w:val="continue"/>
            <w:tcBorders>
              <w:top w:val="nil"/>
            </w:tcBorders>
            <w:vAlign w:val="center"/>
          </w:tcPr>
          <w:p w14:paraId="656905C0">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p>
        </w:tc>
        <w:tc>
          <w:tcPr>
            <w:tcW w:w="1000" w:type="dxa"/>
            <w:vAlign w:val="center"/>
          </w:tcPr>
          <w:p w14:paraId="0EE45433">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2.0</w:t>
            </w:r>
            <w:r>
              <w:rPr>
                <w:rFonts w:hint="eastAsia" w:ascii="仿宋_GB2312" w:hAnsi="仿宋_GB2312" w:eastAsia="仿宋_GB2312" w:cs="仿宋_GB2312"/>
                <w:color w:val="auto"/>
                <w:spacing w:val="1"/>
                <w:sz w:val="32"/>
                <w:szCs w:val="32"/>
                <w:highlight w:val="none"/>
              </w:rPr>
              <w:t>0</w:t>
            </w:r>
          </w:p>
        </w:tc>
        <w:tc>
          <w:tcPr>
            <w:tcW w:w="1975" w:type="dxa"/>
            <w:vAlign w:val="center"/>
          </w:tcPr>
          <w:p w14:paraId="4AC666E4">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2.0</w:t>
            </w:r>
            <w:r>
              <w:rPr>
                <w:rFonts w:hint="eastAsia" w:ascii="仿宋_GB2312" w:hAnsi="仿宋_GB2312" w:eastAsia="仿宋_GB2312" w:cs="仿宋_GB2312"/>
                <w:color w:val="auto"/>
                <w:spacing w:val="1"/>
                <w:sz w:val="32"/>
                <w:szCs w:val="32"/>
                <w:highlight w:val="none"/>
              </w:rPr>
              <w:t>0</w:t>
            </w:r>
          </w:p>
        </w:tc>
        <w:tc>
          <w:tcPr>
            <w:tcW w:w="1682" w:type="dxa"/>
            <w:vAlign w:val="center"/>
          </w:tcPr>
          <w:p w14:paraId="0C2AF098">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3"/>
                <w:position w:val="-1"/>
                <w:sz w:val="32"/>
                <w:szCs w:val="32"/>
                <w:highlight w:val="none"/>
              </w:rPr>
              <w:t>0</w:t>
            </w:r>
            <w:r>
              <w:rPr>
                <w:rFonts w:hint="eastAsia" w:ascii="Times New Roman" w:hAnsi="Times New Roman" w:eastAsia="仿宋_GB2312" w:cs="Times New Roman"/>
                <w:color w:val="auto"/>
                <w:spacing w:val="23"/>
                <w:position w:val="-1"/>
                <w:sz w:val="32"/>
                <w:szCs w:val="32"/>
                <w:highlight w:val="none"/>
                <w:lang w:val="en-US" w:eastAsia="zh-CN"/>
              </w:rPr>
              <w:t>~</w:t>
            </w:r>
            <w:r>
              <w:rPr>
                <w:rFonts w:hint="eastAsia" w:ascii="仿宋_GB2312" w:hAnsi="仿宋_GB2312" w:eastAsia="仿宋_GB2312" w:cs="仿宋_GB2312"/>
                <w:color w:val="auto"/>
                <w:spacing w:val="23"/>
                <w:position w:val="-1"/>
                <w:sz w:val="32"/>
                <w:szCs w:val="32"/>
                <w:highlight w:val="none"/>
              </w:rPr>
              <w:t>2.00</w:t>
            </w:r>
          </w:p>
        </w:tc>
      </w:tr>
    </w:tbl>
    <w:p w14:paraId="027F979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2.评判方法</w:t>
      </w:r>
    </w:p>
    <w:p w14:paraId="45D9EBA0">
      <w:pPr>
        <w:keepNext w:val="0"/>
        <w:keepLines w:val="0"/>
        <w:pageBreakBefore w:val="0"/>
        <w:widowControl w:val="0"/>
        <w:kinsoku/>
        <w:wordWrap/>
        <w:overflowPunct/>
        <w:topLinePunct w:val="0"/>
        <w:autoSpaceDE/>
        <w:autoSpaceDN/>
        <w:bidi w:val="0"/>
        <w:adjustRightInd w:val="0"/>
        <w:snapToGrid w:val="0"/>
        <w:spacing w:line="600" w:lineRule="exact"/>
        <w:ind w:left="680"/>
        <w:textAlignment w:val="auto"/>
        <w:outlineLvl w:val="3"/>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（1）评价评分</w:t>
      </w:r>
    </w:p>
    <w:p w14:paraId="3BBA72D4">
      <w:pPr>
        <w:keepNext w:val="0"/>
        <w:keepLines w:val="0"/>
        <w:pageBreakBefore w:val="0"/>
        <w:widowControl w:val="0"/>
        <w:kinsoku/>
        <w:wordWrap/>
        <w:overflowPunct/>
        <w:topLinePunct w:val="0"/>
        <w:autoSpaceDE/>
        <w:autoSpaceDN/>
        <w:bidi w:val="0"/>
        <w:adjustRightInd w:val="0"/>
        <w:snapToGrid w:val="0"/>
        <w:spacing w:line="600" w:lineRule="exact"/>
        <w:ind w:left="35" w:right="78" w:firstLine="637"/>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3"/>
          <w:sz w:val="32"/>
          <w:szCs w:val="32"/>
          <w:highlight w:val="none"/>
        </w:rPr>
        <w:t>3</w:t>
      </w:r>
      <w:r>
        <w:rPr>
          <w:rFonts w:hint="eastAsia" w:ascii="仿宋_GB2312" w:hAnsi="仿宋_GB2312" w:eastAsia="仿宋_GB2312" w:cs="仿宋_GB2312"/>
          <w:color w:val="auto"/>
          <w:spacing w:val="8"/>
          <w:sz w:val="32"/>
          <w:szCs w:val="32"/>
          <w:highlight w:val="none"/>
        </w:rPr>
        <w:t>名裁判为一组，各自单独评分，计算出平均权重分除</w:t>
      </w:r>
      <w:r>
        <w:rPr>
          <w:rFonts w:hint="eastAsia" w:ascii="仿宋_GB2312" w:hAnsi="仿宋_GB2312" w:eastAsia="仿宋_GB2312" w:cs="仿宋_GB2312"/>
          <w:color w:val="auto"/>
          <w:spacing w:val="4"/>
          <w:sz w:val="32"/>
          <w:szCs w:val="32"/>
          <w:highlight w:val="none"/>
        </w:rPr>
        <w:t>以 3 后</w:t>
      </w:r>
      <w:r>
        <w:rPr>
          <w:rFonts w:hint="eastAsia" w:ascii="仿宋_GB2312" w:hAnsi="仿宋_GB2312" w:eastAsia="仿宋_GB2312" w:cs="仿宋_GB2312"/>
          <w:color w:val="auto"/>
          <w:spacing w:val="3"/>
          <w:sz w:val="32"/>
          <w:szCs w:val="32"/>
          <w:highlight w:val="none"/>
        </w:rPr>
        <w:t>再</w:t>
      </w:r>
      <w:r>
        <w:rPr>
          <w:rFonts w:hint="eastAsia" w:ascii="仿宋_GB2312" w:hAnsi="仿宋_GB2312" w:eastAsia="仿宋_GB2312" w:cs="仿宋_GB2312"/>
          <w:color w:val="auto"/>
          <w:spacing w:val="2"/>
          <w:sz w:val="32"/>
          <w:szCs w:val="32"/>
          <w:highlight w:val="none"/>
        </w:rPr>
        <w:t>乘以该子项的分值计算出来实际得分。裁判相互间</w:t>
      </w:r>
      <w:r>
        <w:rPr>
          <w:rFonts w:hint="eastAsia" w:ascii="仿宋_GB2312" w:hAnsi="仿宋_GB2312" w:eastAsia="仿宋_GB2312" w:cs="仿宋_GB2312"/>
          <w:color w:val="auto"/>
          <w:spacing w:val="4"/>
          <w:sz w:val="32"/>
          <w:szCs w:val="32"/>
          <w:highlight w:val="none"/>
        </w:rPr>
        <w:t>分差必须小于等</w:t>
      </w:r>
      <w:r>
        <w:rPr>
          <w:rFonts w:hint="eastAsia" w:ascii="仿宋_GB2312" w:hAnsi="仿宋_GB2312" w:eastAsia="仿宋_GB2312" w:cs="仿宋_GB2312"/>
          <w:color w:val="auto"/>
          <w:spacing w:val="2"/>
          <w:sz w:val="32"/>
          <w:szCs w:val="32"/>
          <w:highlight w:val="none"/>
        </w:rPr>
        <w:t>于1分，否则需要给出确切理由并在评分组</w:t>
      </w:r>
      <w:r>
        <w:rPr>
          <w:rFonts w:hint="eastAsia" w:ascii="仿宋_GB2312" w:hAnsi="仿宋_GB2312" w:eastAsia="仿宋_GB2312" w:cs="仿宋_GB2312"/>
          <w:color w:val="auto"/>
          <w:spacing w:val="14"/>
          <w:sz w:val="32"/>
          <w:szCs w:val="32"/>
          <w:highlight w:val="none"/>
        </w:rPr>
        <w:t>长</w:t>
      </w:r>
      <w:r>
        <w:rPr>
          <w:rFonts w:hint="eastAsia" w:ascii="仿宋_GB2312" w:hAnsi="仿宋_GB2312" w:eastAsia="仿宋_GB2312" w:cs="仿宋_GB2312"/>
          <w:color w:val="auto"/>
          <w:spacing w:val="9"/>
          <w:sz w:val="32"/>
          <w:szCs w:val="32"/>
          <w:highlight w:val="none"/>
        </w:rPr>
        <w:t>或</w:t>
      </w:r>
      <w:r>
        <w:rPr>
          <w:rFonts w:hint="eastAsia" w:ascii="仿宋_GB2312" w:hAnsi="仿宋_GB2312" w:eastAsia="仿宋_GB2312" w:cs="仿宋_GB2312"/>
          <w:color w:val="auto"/>
          <w:spacing w:val="7"/>
          <w:sz w:val="32"/>
          <w:szCs w:val="32"/>
          <w:highlight w:val="none"/>
        </w:rPr>
        <w:t>裁判长的监督下进行调分。</w:t>
      </w:r>
    </w:p>
    <w:p w14:paraId="28D265C3">
      <w:pPr>
        <w:keepNext w:val="0"/>
        <w:keepLines w:val="0"/>
        <w:pageBreakBefore w:val="0"/>
        <w:widowControl w:val="0"/>
        <w:kinsoku/>
        <w:wordWrap/>
        <w:overflowPunct/>
        <w:topLinePunct w:val="0"/>
        <w:autoSpaceDE/>
        <w:autoSpaceDN/>
        <w:bidi w:val="0"/>
        <w:adjustRightInd w:val="0"/>
        <w:snapToGrid w:val="0"/>
        <w:spacing w:line="600" w:lineRule="exact"/>
        <w:ind w:left="663"/>
        <w:textAlignment w:val="auto"/>
        <w:outlineLvl w:val="3"/>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3"/>
          <w:sz w:val="32"/>
          <w:szCs w:val="32"/>
          <w:highlight w:val="none"/>
        </w:rPr>
        <w:t>（2）</w:t>
      </w:r>
      <w:r>
        <w:rPr>
          <w:rFonts w:hint="eastAsia" w:ascii="仿宋_GB2312" w:hAnsi="仿宋_GB2312" w:eastAsia="仿宋_GB2312" w:cs="仿宋_GB2312"/>
          <w:color w:val="auto"/>
          <w:spacing w:val="18"/>
          <w:sz w:val="32"/>
          <w:szCs w:val="32"/>
          <w:highlight w:val="none"/>
        </w:rPr>
        <w:t>测量评分</w:t>
      </w:r>
    </w:p>
    <w:p w14:paraId="706C98FD">
      <w:pPr>
        <w:keepNext w:val="0"/>
        <w:keepLines w:val="0"/>
        <w:pageBreakBefore w:val="0"/>
        <w:widowControl w:val="0"/>
        <w:kinsoku/>
        <w:wordWrap/>
        <w:overflowPunct/>
        <w:topLinePunct w:val="0"/>
        <w:autoSpaceDE/>
        <w:autoSpaceDN/>
        <w:bidi w:val="0"/>
        <w:adjustRightInd w:val="0"/>
        <w:snapToGrid w:val="0"/>
        <w:spacing w:line="600" w:lineRule="exact"/>
        <w:ind w:left="38" w:firstLine="62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按</w:t>
      </w:r>
      <w:r>
        <w:rPr>
          <w:rFonts w:hint="eastAsia" w:ascii="仿宋_GB2312" w:hAnsi="仿宋_GB2312" w:eastAsia="仿宋_GB2312" w:cs="仿宋_GB2312"/>
          <w:color w:val="auto"/>
          <w:spacing w:val="-6"/>
          <w:sz w:val="32"/>
          <w:szCs w:val="32"/>
          <w:highlight w:val="none"/>
        </w:rPr>
        <w:t>模块设置若干个评分组，每组由3名及以上裁判构成。</w:t>
      </w:r>
      <w:r>
        <w:rPr>
          <w:rFonts w:hint="eastAsia" w:ascii="仿宋_GB2312" w:hAnsi="仿宋_GB2312" w:eastAsia="仿宋_GB2312" w:cs="仿宋_GB2312"/>
          <w:color w:val="auto"/>
          <w:spacing w:val="-4"/>
          <w:sz w:val="32"/>
          <w:szCs w:val="32"/>
          <w:highlight w:val="none"/>
        </w:rPr>
        <w:t>每</w:t>
      </w:r>
      <w:r>
        <w:rPr>
          <w:rFonts w:hint="eastAsia" w:ascii="仿宋_GB2312" w:hAnsi="仿宋_GB2312" w:eastAsia="仿宋_GB2312" w:cs="仿宋_GB2312"/>
          <w:color w:val="auto"/>
          <w:spacing w:val="-3"/>
          <w:sz w:val="32"/>
          <w:szCs w:val="32"/>
          <w:highlight w:val="none"/>
        </w:rPr>
        <w:t>个组所有裁判一起商议，在对该选手在该项中的实际得分达</w:t>
      </w:r>
      <w:r>
        <w:rPr>
          <w:rFonts w:hint="eastAsia" w:ascii="仿宋_GB2312" w:hAnsi="仿宋_GB2312" w:eastAsia="仿宋_GB2312" w:cs="仿宋_GB2312"/>
          <w:color w:val="auto"/>
          <w:spacing w:val="-4"/>
          <w:sz w:val="32"/>
          <w:szCs w:val="32"/>
          <w:highlight w:val="none"/>
        </w:rPr>
        <w:t>成</w:t>
      </w:r>
      <w:r>
        <w:rPr>
          <w:rFonts w:hint="eastAsia" w:ascii="仿宋_GB2312" w:hAnsi="仿宋_GB2312" w:eastAsia="仿宋_GB2312" w:cs="仿宋_GB2312"/>
          <w:color w:val="auto"/>
          <w:spacing w:val="-3"/>
          <w:sz w:val="32"/>
          <w:szCs w:val="32"/>
          <w:highlight w:val="none"/>
        </w:rPr>
        <w:t>一致后最终只给出一个分值。若裁判数量较多，也可以另定</w:t>
      </w:r>
      <w:r>
        <w:rPr>
          <w:rFonts w:hint="eastAsia" w:ascii="仿宋_GB2312" w:hAnsi="仿宋_GB2312" w:eastAsia="仿宋_GB2312" w:cs="仿宋_GB2312"/>
          <w:color w:val="auto"/>
          <w:spacing w:val="-2"/>
          <w:sz w:val="32"/>
          <w:szCs w:val="32"/>
          <w:highlight w:val="none"/>
        </w:rPr>
        <w:t>分组模式。</w:t>
      </w:r>
    </w:p>
    <w:p w14:paraId="15426872">
      <w:pPr>
        <w:keepNext w:val="0"/>
        <w:keepLines w:val="0"/>
        <w:pageBreakBefore w:val="0"/>
        <w:widowControl w:val="0"/>
        <w:kinsoku/>
        <w:wordWrap/>
        <w:overflowPunct/>
        <w:topLinePunct w:val="0"/>
        <w:autoSpaceDE/>
        <w:autoSpaceDN/>
        <w:bidi w:val="0"/>
        <w:adjustRightInd w:val="0"/>
        <w:snapToGrid w:val="0"/>
        <w:spacing w:line="600" w:lineRule="exact"/>
        <w:ind w:left="663"/>
        <w:textAlignment w:val="auto"/>
        <w:outlineLvl w:val="3"/>
        <w:rPr>
          <w:rFonts w:hint="eastAsia" w:ascii="仿宋_GB2312" w:hAnsi="仿宋_GB2312" w:eastAsia="仿宋_GB2312" w:cs="仿宋_GB2312"/>
          <w:color w:val="auto"/>
          <w:spacing w:val="15"/>
          <w:sz w:val="32"/>
          <w:szCs w:val="32"/>
          <w:highlight w:val="none"/>
        </w:rPr>
      </w:pPr>
      <w:r>
        <w:rPr>
          <w:rFonts w:hint="eastAsia" w:ascii="仿宋_GB2312" w:hAnsi="仿宋_GB2312" w:eastAsia="仿宋_GB2312" w:cs="仿宋_GB2312"/>
          <w:color w:val="auto"/>
          <w:spacing w:val="18"/>
          <w:sz w:val="32"/>
          <w:szCs w:val="32"/>
          <w:highlight w:val="none"/>
        </w:rPr>
        <w:t>（3）</w:t>
      </w:r>
      <w:r>
        <w:rPr>
          <w:rFonts w:hint="eastAsia" w:ascii="仿宋_GB2312" w:hAnsi="仿宋_GB2312" w:eastAsia="仿宋_GB2312" w:cs="仿宋_GB2312"/>
          <w:color w:val="auto"/>
          <w:spacing w:val="15"/>
          <w:sz w:val="32"/>
          <w:szCs w:val="32"/>
          <w:highlight w:val="none"/>
        </w:rPr>
        <w:t>评分流程</w:t>
      </w:r>
    </w:p>
    <w:p w14:paraId="0C30D6F2">
      <w:pPr>
        <w:keepNext w:val="0"/>
        <w:keepLines w:val="0"/>
        <w:pageBreakBefore w:val="0"/>
        <w:widowControl w:val="0"/>
        <w:kinsoku/>
        <w:wordWrap/>
        <w:overflowPunct/>
        <w:topLinePunct w:val="0"/>
        <w:autoSpaceDE/>
        <w:autoSpaceDN/>
        <w:bidi w:val="0"/>
        <w:adjustRightInd w:val="0"/>
        <w:snapToGrid w:val="0"/>
        <w:spacing w:line="600" w:lineRule="exact"/>
        <w:ind w:firstLine="644" w:firstLineChars="200"/>
        <w:textAlignment w:val="auto"/>
        <w:outlineLvl w:val="3"/>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
          <w:sz w:val="32"/>
          <w:szCs w:val="32"/>
          <w:highlight w:val="none"/>
        </w:rPr>
        <w:t>操作过程性评分由裁判员和裁判组长(两人</w:t>
      </w:r>
      <w:r>
        <w:rPr>
          <w:rFonts w:hint="eastAsia" w:ascii="仿宋_GB2312" w:hAnsi="仿宋_GB2312" w:eastAsia="仿宋_GB2312" w:cs="仿宋_GB2312"/>
          <w:color w:val="auto"/>
          <w:sz w:val="32"/>
          <w:szCs w:val="32"/>
          <w:highlight w:val="none"/>
        </w:rPr>
        <w:t>以上)共同协商、</w:t>
      </w:r>
      <w:r>
        <w:rPr>
          <w:rFonts w:hint="eastAsia" w:ascii="仿宋_GB2312" w:hAnsi="仿宋_GB2312" w:eastAsia="仿宋_GB2312" w:cs="仿宋_GB2312"/>
          <w:color w:val="auto"/>
          <w:spacing w:val="-2"/>
          <w:sz w:val="32"/>
          <w:szCs w:val="32"/>
          <w:highlight w:val="none"/>
        </w:rPr>
        <w:t>确认扣</w:t>
      </w:r>
      <w:r>
        <w:rPr>
          <w:rFonts w:hint="eastAsia" w:ascii="仿宋_GB2312" w:hAnsi="仿宋_GB2312" w:eastAsia="仿宋_GB2312" w:cs="仿宋_GB2312"/>
          <w:color w:val="auto"/>
          <w:spacing w:val="-1"/>
          <w:sz w:val="32"/>
          <w:szCs w:val="32"/>
          <w:highlight w:val="none"/>
        </w:rPr>
        <w:t>分。</w:t>
      </w:r>
    </w:p>
    <w:p w14:paraId="54FA1993">
      <w:pPr>
        <w:keepNext w:val="0"/>
        <w:keepLines w:val="0"/>
        <w:pageBreakBefore w:val="0"/>
        <w:widowControl w:val="0"/>
        <w:kinsoku/>
        <w:wordWrap/>
        <w:overflowPunct/>
        <w:topLinePunct w:val="0"/>
        <w:autoSpaceDE/>
        <w:autoSpaceDN/>
        <w:bidi w:val="0"/>
        <w:adjustRightInd w:val="0"/>
        <w:snapToGrid w:val="0"/>
        <w:spacing w:line="600" w:lineRule="exact"/>
        <w:ind w:left="40" w:right="110" w:firstLine="63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终</w:t>
      </w:r>
      <w:r>
        <w:rPr>
          <w:rFonts w:hint="eastAsia" w:ascii="仿宋_GB2312" w:hAnsi="仿宋_GB2312" w:eastAsia="仿宋_GB2312" w:cs="仿宋_GB2312"/>
          <w:color w:val="auto"/>
          <w:spacing w:val="8"/>
          <w:sz w:val="32"/>
          <w:szCs w:val="32"/>
          <w:highlight w:val="none"/>
        </w:rPr>
        <w:t>结性测量分在裁判组长的带领下共同协商评价，由裁</w:t>
      </w:r>
      <w:r>
        <w:rPr>
          <w:rFonts w:hint="eastAsia" w:ascii="仿宋_GB2312" w:hAnsi="仿宋_GB2312" w:eastAsia="仿宋_GB2312" w:cs="仿宋_GB2312"/>
          <w:color w:val="auto"/>
          <w:spacing w:val="9"/>
          <w:sz w:val="32"/>
          <w:szCs w:val="32"/>
          <w:highlight w:val="none"/>
        </w:rPr>
        <w:t>判</w:t>
      </w:r>
      <w:r>
        <w:rPr>
          <w:rFonts w:hint="eastAsia" w:ascii="仿宋_GB2312" w:hAnsi="仿宋_GB2312" w:eastAsia="仿宋_GB2312" w:cs="仿宋_GB2312"/>
          <w:color w:val="auto"/>
          <w:spacing w:val="7"/>
          <w:sz w:val="32"/>
          <w:szCs w:val="32"/>
          <w:highlight w:val="none"/>
        </w:rPr>
        <w:t>组长评价，组员确认打分。</w:t>
      </w:r>
    </w:p>
    <w:p w14:paraId="4DDD9F4C">
      <w:pPr>
        <w:keepNext w:val="0"/>
        <w:keepLines w:val="0"/>
        <w:pageBreakBefore w:val="0"/>
        <w:widowControl w:val="0"/>
        <w:kinsoku/>
        <w:wordWrap/>
        <w:overflowPunct/>
        <w:topLinePunct w:val="0"/>
        <w:autoSpaceDE/>
        <w:autoSpaceDN/>
        <w:bidi w:val="0"/>
        <w:adjustRightInd w:val="0"/>
        <w:snapToGrid w:val="0"/>
        <w:spacing w:line="600" w:lineRule="exact"/>
        <w:ind w:left="34" w:right="110" w:firstLine="643"/>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各</w:t>
      </w:r>
      <w:r>
        <w:rPr>
          <w:rFonts w:hint="eastAsia" w:ascii="仿宋_GB2312" w:hAnsi="仿宋_GB2312" w:eastAsia="仿宋_GB2312" w:cs="仿宋_GB2312"/>
          <w:color w:val="auto"/>
          <w:spacing w:val="8"/>
          <w:sz w:val="32"/>
          <w:szCs w:val="32"/>
          <w:highlight w:val="none"/>
        </w:rPr>
        <w:t>模块分类封闭式打分，最终由裁判长进行复核，经当</w:t>
      </w:r>
      <w:r>
        <w:rPr>
          <w:rFonts w:hint="eastAsia" w:ascii="仿宋_GB2312" w:hAnsi="仿宋_GB2312" w:eastAsia="仿宋_GB2312" w:cs="仿宋_GB2312"/>
          <w:color w:val="auto"/>
          <w:spacing w:val="16"/>
          <w:sz w:val="32"/>
          <w:szCs w:val="32"/>
          <w:highlight w:val="none"/>
        </w:rPr>
        <w:t>值裁</w:t>
      </w:r>
      <w:r>
        <w:rPr>
          <w:rFonts w:hint="eastAsia" w:ascii="仿宋_GB2312" w:hAnsi="仿宋_GB2312" w:eastAsia="仿宋_GB2312" w:cs="仿宋_GB2312"/>
          <w:color w:val="auto"/>
          <w:spacing w:val="11"/>
          <w:sz w:val="32"/>
          <w:szCs w:val="32"/>
          <w:highlight w:val="none"/>
        </w:rPr>
        <w:t>判员</w:t>
      </w:r>
      <w:r>
        <w:rPr>
          <w:rFonts w:hint="eastAsia" w:ascii="仿宋_GB2312" w:hAnsi="仿宋_GB2312" w:eastAsia="仿宋_GB2312" w:cs="仿宋_GB2312"/>
          <w:color w:val="auto"/>
          <w:spacing w:val="8"/>
          <w:sz w:val="32"/>
          <w:szCs w:val="32"/>
          <w:highlight w:val="none"/>
        </w:rPr>
        <w:t>签字确认后由工作人员录入，得到选手最终分值。</w:t>
      </w:r>
    </w:p>
    <w:p w14:paraId="031A6E98">
      <w:pPr>
        <w:keepNext w:val="0"/>
        <w:keepLines w:val="0"/>
        <w:pageBreakBefore w:val="0"/>
        <w:widowControl w:val="0"/>
        <w:kinsoku/>
        <w:wordWrap/>
        <w:overflowPunct/>
        <w:topLinePunct w:val="0"/>
        <w:autoSpaceDE/>
        <w:autoSpaceDN/>
        <w:bidi w:val="0"/>
        <w:adjustRightInd w:val="0"/>
        <w:snapToGrid w:val="0"/>
        <w:spacing w:line="600" w:lineRule="exact"/>
        <w:ind w:left="680"/>
        <w:textAlignment w:val="auto"/>
        <w:outlineLvl w:val="3"/>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lang w:eastAsia="zh-CN"/>
        </w:rPr>
        <w:t>（</w:t>
      </w:r>
      <w:r>
        <w:rPr>
          <w:rFonts w:hint="eastAsia" w:ascii="仿宋_GB2312" w:hAnsi="仿宋_GB2312" w:eastAsia="仿宋_GB2312" w:cs="仿宋_GB2312"/>
          <w:color w:val="auto"/>
          <w:spacing w:val="24"/>
          <w:sz w:val="32"/>
          <w:szCs w:val="32"/>
          <w:highlight w:val="none"/>
          <w:lang w:val="en-US" w:eastAsia="zh-CN"/>
        </w:rPr>
        <w:t>4</w:t>
      </w:r>
      <w:r>
        <w:rPr>
          <w:rFonts w:hint="eastAsia" w:ascii="仿宋_GB2312" w:hAnsi="仿宋_GB2312" w:eastAsia="仿宋_GB2312" w:cs="仿宋_GB2312"/>
          <w:color w:val="auto"/>
          <w:spacing w:val="24"/>
          <w:sz w:val="32"/>
          <w:szCs w:val="32"/>
          <w:highlight w:val="none"/>
          <w:lang w:eastAsia="zh-CN"/>
        </w:rPr>
        <w:t>）</w:t>
      </w:r>
      <w:r>
        <w:rPr>
          <w:rFonts w:hint="eastAsia" w:ascii="仿宋_GB2312" w:hAnsi="仿宋_GB2312" w:eastAsia="仿宋_GB2312" w:cs="仿宋_GB2312"/>
          <w:color w:val="auto"/>
          <w:spacing w:val="24"/>
          <w:sz w:val="32"/>
          <w:szCs w:val="32"/>
          <w:highlight w:val="none"/>
        </w:rPr>
        <w:t>裁判分组</w:t>
      </w:r>
    </w:p>
    <w:p w14:paraId="1E55D0C6">
      <w:pPr>
        <w:keepNext w:val="0"/>
        <w:keepLines w:val="0"/>
        <w:pageBreakBefore w:val="0"/>
        <w:widowControl w:val="0"/>
        <w:kinsoku/>
        <w:wordWrap/>
        <w:overflowPunct/>
        <w:topLinePunct w:val="0"/>
        <w:autoSpaceDE/>
        <w:autoSpaceDN/>
        <w:bidi w:val="0"/>
        <w:adjustRightInd w:val="0"/>
        <w:snapToGrid w:val="0"/>
        <w:spacing w:line="600" w:lineRule="exact"/>
        <w:ind w:firstLine="616" w:firstLineChars="200"/>
        <w:textAlignment w:val="auto"/>
        <w:outlineLvl w:val="3"/>
        <w:rPr>
          <w:rFonts w:hint="eastAsia" w:ascii="仿宋_GB2312" w:hAnsi="仿宋_GB2312" w:eastAsia="仿宋_GB2312" w:cs="仿宋_GB2312"/>
          <w:color w:val="auto"/>
          <w:spacing w:val="24"/>
          <w:sz w:val="32"/>
          <w:szCs w:val="32"/>
          <w:highlight w:val="none"/>
        </w:rPr>
      </w:pPr>
      <w:r>
        <w:rPr>
          <w:rFonts w:hint="eastAsia" w:ascii="仿宋_GB2312" w:hAnsi="仿宋_GB2312" w:eastAsia="仿宋_GB2312" w:cs="仿宋_GB2312"/>
          <w:color w:val="auto"/>
          <w:spacing w:val="-6"/>
          <w:sz w:val="32"/>
          <w:szCs w:val="32"/>
          <w:highlight w:val="none"/>
        </w:rPr>
        <w:t>裁</w:t>
      </w:r>
      <w:r>
        <w:rPr>
          <w:rFonts w:hint="eastAsia" w:ascii="仿宋_GB2312" w:hAnsi="仿宋_GB2312" w:eastAsia="仿宋_GB2312" w:cs="仿宋_GB2312"/>
          <w:color w:val="auto"/>
          <w:spacing w:val="-4"/>
          <w:sz w:val="32"/>
          <w:szCs w:val="32"/>
          <w:highlight w:val="none"/>
        </w:rPr>
        <w:t>判组设裁判长1名，裁判长助理1名，裁判员若干名。</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6"/>
          <w:sz w:val="32"/>
          <w:szCs w:val="32"/>
          <w:highlight w:val="none"/>
        </w:rPr>
        <w:t>裁</w:t>
      </w:r>
      <w:r>
        <w:rPr>
          <w:rFonts w:hint="eastAsia" w:ascii="仿宋_GB2312" w:hAnsi="仿宋_GB2312" w:eastAsia="仿宋_GB2312" w:cs="仿宋_GB2312"/>
          <w:color w:val="auto"/>
          <w:spacing w:val="9"/>
          <w:sz w:val="32"/>
          <w:szCs w:val="32"/>
          <w:highlight w:val="none"/>
        </w:rPr>
        <w:t>判</w:t>
      </w:r>
      <w:r>
        <w:rPr>
          <w:rFonts w:hint="eastAsia" w:ascii="仿宋_GB2312" w:hAnsi="仿宋_GB2312" w:eastAsia="仿宋_GB2312" w:cs="仿宋_GB2312"/>
          <w:color w:val="auto"/>
          <w:spacing w:val="8"/>
          <w:sz w:val="32"/>
          <w:szCs w:val="32"/>
          <w:highlight w:val="none"/>
        </w:rPr>
        <w:t>长由</w:t>
      </w:r>
      <w:r>
        <w:rPr>
          <w:rFonts w:hint="eastAsia" w:ascii="仿宋_GB2312" w:hAnsi="仿宋_GB2312" w:eastAsia="仿宋_GB2312" w:cs="仿宋_GB2312"/>
          <w:color w:val="auto"/>
          <w:spacing w:val="8"/>
          <w:sz w:val="32"/>
          <w:szCs w:val="32"/>
          <w:highlight w:val="none"/>
          <w:lang w:eastAsia="zh-CN"/>
        </w:rPr>
        <w:t>第二届山东</w:t>
      </w:r>
      <w:r>
        <w:rPr>
          <w:rFonts w:hint="eastAsia" w:ascii="仿宋_GB2312" w:hAnsi="仿宋_GB2312" w:eastAsia="仿宋_GB2312" w:cs="仿宋_GB2312"/>
          <w:color w:val="auto"/>
          <w:spacing w:val="8"/>
          <w:sz w:val="32"/>
          <w:szCs w:val="32"/>
          <w:highlight w:val="none"/>
        </w:rPr>
        <w:t>省</w:t>
      </w:r>
      <w:r>
        <w:rPr>
          <w:rFonts w:hint="eastAsia" w:ascii="仿宋_GB2312" w:hAnsi="仿宋_GB2312" w:eastAsia="仿宋_GB2312" w:cs="仿宋_GB2312"/>
          <w:color w:val="auto"/>
          <w:spacing w:val="8"/>
          <w:sz w:val="32"/>
          <w:szCs w:val="32"/>
          <w:highlight w:val="none"/>
          <w:lang w:val="en-US" w:eastAsia="zh-CN"/>
        </w:rPr>
        <w:t>职业</w:t>
      </w:r>
      <w:r>
        <w:rPr>
          <w:rFonts w:hint="eastAsia" w:ascii="仿宋_GB2312" w:hAnsi="仿宋_GB2312" w:eastAsia="仿宋_GB2312" w:cs="仿宋_GB2312"/>
          <w:color w:val="auto"/>
          <w:spacing w:val="8"/>
          <w:sz w:val="32"/>
          <w:szCs w:val="32"/>
          <w:highlight w:val="none"/>
        </w:rPr>
        <w:t>技能大赛组委会统一任命。裁判</w:t>
      </w:r>
      <w:r>
        <w:rPr>
          <w:rFonts w:hint="eastAsia" w:ascii="仿宋_GB2312" w:hAnsi="仿宋_GB2312" w:eastAsia="仿宋_GB2312" w:cs="仿宋_GB2312"/>
          <w:color w:val="auto"/>
          <w:spacing w:val="4"/>
          <w:sz w:val="32"/>
          <w:szCs w:val="32"/>
          <w:highlight w:val="none"/>
        </w:rPr>
        <w:t>员由</w:t>
      </w:r>
      <w:r>
        <w:rPr>
          <w:rFonts w:hint="eastAsia" w:ascii="仿宋_GB2312" w:hAnsi="仿宋_GB2312" w:eastAsia="仿宋_GB2312" w:cs="仿宋_GB2312"/>
          <w:color w:val="auto"/>
          <w:spacing w:val="2"/>
          <w:sz w:val="32"/>
          <w:szCs w:val="32"/>
          <w:highlight w:val="none"/>
        </w:rPr>
        <w:t>各参赛队伍推荐（每个参赛队可推荐1名裁判员，参赛</w:t>
      </w:r>
      <w:r>
        <w:rPr>
          <w:rFonts w:hint="eastAsia" w:ascii="仿宋_GB2312" w:hAnsi="仿宋_GB2312" w:eastAsia="仿宋_GB2312" w:cs="仿宋_GB2312"/>
          <w:color w:val="auto"/>
          <w:spacing w:val="9"/>
          <w:sz w:val="32"/>
          <w:szCs w:val="32"/>
          <w:highlight w:val="none"/>
        </w:rPr>
        <w:t>队</w:t>
      </w:r>
      <w:r>
        <w:rPr>
          <w:rFonts w:hint="eastAsia" w:ascii="仿宋_GB2312" w:hAnsi="仿宋_GB2312" w:eastAsia="仿宋_GB2312" w:cs="仿宋_GB2312"/>
          <w:color w:val="auto"/>
          <w:spacing w:val="8"/>
          <w:sz w:val="32"/>
          <w:szCs w:val="32"/>
          <w:highlight w:val="none"/>
        </w:rPr>
        <w:t>裁判员不参与本队选手和本地区选手的评分</w:t>
      </w:r>
      <w:r>
        <w:rPr>
          <w:rFonts w:hint="eastAsia" w:ascii="仿宋_GB2312" w:hAnsi="仿宋_GB2312" w:eastAsia="仿宋_GB2312" w:cs="仿宋_GB2312"/>
          <w:color w:val="auto"/>
          <w:spacing w:val="2"/>
          <w:sz w:val="32"/>
          <w:szCs w:val="32"/>
          <w:highlight w:val="none"/>
        </w:rPr>
        <w:t>）</w:t>
      </w:r>
      <w:r>
        <w:rPr>
          <w:rFonts w:hint="eastAsia" w:ascii="仿宋_GB2312" w:hAnsi="仿宋_GB2312" w:eastAsia="仿宋_GB2312" w:cs="仿宋_GB2312"/>
          <w:color w:val="auto"/>
          <w:spacing w:val="8"/>
          <w:sz w:val="32"/>
          <w:szCs w:val="32"/>
          <w:highlight w:val="none"/>
        </w:rPr>
        <w:t>。裁判组在</w:t>
      </w:r>
      <w:r>
        <w:rPr>
          <w:rFonts w:hint="eastAsia" w:ascii="仿宋_GB2312" w:hAnsi="仿宋_GB2312" w:eastAsia="仿宋_GB2312" w:cs="仿宋_GB2312"/>
          <w:color w:val="auto"/>
          <w:spacing w:val="9"/>
          <w:sz w:val="32"/>
          <w:szCs w:val="32"/>
          <w:highlight w:val="none"/>
        </w:rPr>
        <w:t>裁</w:t>
      </w:r>
      <w:r>
        <w:rPr>
          <w:rFonts w:hint="eastAsia" w:ascii="仿宋_GB2312" w:hAnsi="仿宋_GB2312" w:eastAsia="仿宋_GB2312" w:cs="仿宋_GB2312"/>
          <w:color w:val="auto"/>
          <w:spacing w:val="8"/>
          <w:sz w:val="32"/>
          <w:szCs w:val="32"/>
          <w:highlight w:val="none"/>
        </w:rPr>
        <w:t>判长</w:t>
      </w:r>
      <w:r>
        <w:rPr>
          <w:rFonts w:hint="eastAsia" w:ascii="仿宋_GB2312" w:hAnsi="仿宋_GB2312" w:eastAsia="仿宋_GB2312" w:cs="仿宋_GB2312"/>
          <w:color w:val="auto"/>
          <w:spacing w:val="24"/>
          <w:sz w:val="32"/>
          <w:szCs w:val="32"/>
          <w:highlight w:val="none"/>
        </w:rPr>
        <w:t>带领下，负责比赛各环节技术工作。</w:t>
      </w:r>
    </w:p>
    <w:p w14:paraId="76D4893F">
      <w:pPr>
        <w:keepNext w:val="0"/>
        <w:keepLines w:val="0"/>
        <w:pageBreakBefore w:val="0"/>
        <w:widowControl w:val="0"/>
        <w:kinsoku/>
        <w:wordWrap/>
        <w:overflowPunct/>
        <w:topLinePunct w:val="0"/>
        <w:autoSpaceDE/>
        <w:autoSpaceDN/>
        <w:bidi w:val="0"/>
        <w:adjustRightInd w:val="0"/>
        <w:snapToGrid w:val="0"/>
        <w:spacing w:line="600" w:lineRule="exact"/>
        <w:ind w:firstLine="736" w:firstLineChars="200"/>
        <w:textAlignment w:val="auto"/>
        <w:outlineLvl w:val="3"/>
        <w:rPr>
          <w:rFonts w:hint="eastAsia" w:ascii="仿宋_GB2312" w:hAnsi="仿宋_GB2312" w:eastAsia="仿宋_GB2312" w:cs="仿宋_GB2312"/>
          <w:color w:val="auto"/>
          <w:spacing w:val="24"/>
          <w:sz w:val="32"/>
          <w:szCs w:val="32"/>
          <w:highlight w:val="none"/>
        </w:rPr>
      </w:pPr>
      <w:r>
        <w:rPr>
          <w:rFonts w:hint="eastAsia" w:ascii="仿宋_GB2312" w:hAnsi="仿宋_GB2312" w:eastAsia="仿宋_GB2312" w:cs="仿宋_GB2312"/>
          <w:color w:val="auto"/>
          <w:spacing w:val="24"/>
          <w:sz w:val="32"/>
          <w:szCs w:val="32"/>
          <w:highlight w:val="none"/>
        </w:rPr>
        <w:t>化学实验室技术项目按模块进行一轮次竞赛，最后进行集中评分；裁判员执裁对象由裁判长组织抽签决定。</w:t>
      </w:r>
    </w:p>
    <w:p w14:paraId="11DEF2AA">
      <w:pPr>
        <w:keepNext w:val="0"/>
        <w:keepLines w:val="0"/>
        <w:pageBreakBefore w:val="0"/>
        <w:widowControl w:val="0"/>
        <w:kinsoku/>
        <w:wordWrap/>
        <w:overflowPunct/>
        <w:topLinePunct w:val="0"/>
        <w:autoSpaceDE/>
        <w:autoSpaceDN/>
        <w:bidi w:val="0"/>
        <w:adjustRightInd w:val="0"/>
        <w:snapToGrid w:val="0"/>
        <w:spacing w:line="600" w:lineRule="exact"/>
        <w:ind w:firstLine="736" w:firstLineChars="200"/>
        <w:textAlignment w:val="auto"/>
        <w:outlineLvl w:val="3"/>
        <w:rPr>
          <w:rFonts w:hint="eastAsia" w:ascii="仿宋_GB2312" w:hAnsi="仿宋_GB2312" w:eastAsia="仿宋_GB2312" w:cs="仿宋_GB2312"/>
          <w:color w:val="auto"/>
          <w:spacing w:val="24"/>
          <w:sz w:val="32"/>
          <w:szCs w:val="32"/>
          <w:highlight w:val="none"/>
        </w:rPr>
      </w:pPr>
      <w:r>
        <w:rPr>
          <w:rFonts w:hint="eastAsia" w:ascii="仿宋_GB2312" w:hAnsi="仿宋_GB2312" w:eastAsia="仿宋_GB2312" w:cs="仿宋_GB2312"/>
          <w:color w:val="auto"/>
          <w:spacing w:val="24"/>
          <w:sz w:val="32"/>
          <w:szCs w:val="32"/>
          <w:highlight w:val="none"/>
        </w:rPr>
        <w:t>3.成绩并列</w:t>
      </w:r>
    </w:p>
    <w:p w14:paraId="13EC4E35">
      <w:pPr>
        <w:keepNext w:val="0"/>
        <w:keepLines w:val="0"/>
        <w:pageBreakBefore w:val="0"/>
        <w:widowControl w:val="0"/>
        <w:kinsoku/>
        <w:wordWrap/>
        <w:overflowPunct/>
        <w:topLinePunct w:val="0"/>
        <w:autoSpaceDE/>
        <w:autoSpaceDN/>
        <w:bidi w:val="0"/>
        <w:adjustRightInd w:val="0"/>
        <w:snapToGrid w:val="0"/>
        <w:spacing w:line="600" w:lineRule="exact"/>
        <w:ind w:firstLine="736" w:firstLineChars="200"/>
        <w:textAlignment w:val="auto"/>
        <w:outlineLvl w:val="3"/>
        <w:rPr>
          <w:rFonts w:hint="eastAsia" w:ascii="仿宋_GB2312" w:hAnsi="仿宋_GB2312" w:eastAsia="仿宋_GB2312" w:cs="仿宋_GB2312"/>
          <w:color w:val="auto"/>
          <w:spacing w:val="24"/>
          <w:sz w:val="32"/>
          <w:szCs w:val="32"/>
          <w:highlight w:val="none"/>
        </w:rPr>
      </w:pPr>
      <w:r>
        <w:rPr>
          <w:rFonts w:hint="eastAsia" w:ascii="仿宋_GB2312" w:hAnsi="仿宋_GB2312" w:eastAsia="仿宋_GB2312" w:cs="仿宋_GB2312"/>
          <w:color w:val="auto"/>
          <w:spacing w:val="24"/>
          <w:sz w:val="32"/>
          <w:szCs w:val="32"/>
          <w:highlight w:val="none"/>
        </w:rPr>
        <w:t>经各组参与裁判员签字确认和裁判长审核的评判结果交由工作人员录入竞赛评分系统。四个模块的总和即为选手的最终竞赛成绩。总分并列时，依次以模块</w:t>
      </w:r>
      <w:r>
        <w:rPr>
          <w:rFonts w:hint="eastAsia" w:ascii="仿宋_GB2312" w:hAnsi="仿宋_GB2312" w:eastAsia="仿宋_GB2312" w:cs="仿宋_GB2312"/>
          <w:color w:val="auto"/>
          <w:spacing w:val="24"/>
          <w:sz w:val="32"/>
          <w:szCs w:val="32"/>
          <w:highlight w:val="none"/>
          <w:lang w:val="en-US" w:eastAsia="zh-CN"/>
        </w:rPr>
        <w:t>A</w:t>
      </w:r>
      <w:r>
        <w:rPr>
          <w:rFonts w:hint="eastAsia" w:ascii="仿宋_GB2312" w:hAnsi="仿宋_GB2312" w:eastAsia="仿宋_GB2312" w:cs="仿宋_GB2312"/>
          <w:color w:val="auto"/>
          <w:spacing w:val="24"/>
          <w:sz w:val="32"/>
          <w:szCs w:val="32"/>
          <w:highlight w:val="none"/>
        </w:rPr>
        <w:t>、模块</w:t>
      </w:r>
      <w:r>
        <w:rPr>
          <w:rFonts w:hint="eastAsia" w:ascii="仿宋_GB2312" w:hAnsi="仿宋_GB2312" w:eastAsia="仿宋_GB2312" w:cs="仿宋_GB2312"/>
          <w:color w:val="auto"/>
          <w:spacing w:val="24"/>
          <w:sz w:val="32"/>
          <w:szCs w:val="32"/>
          <w:highlight w:val="none"/>
          <w:lang w:val="en-US" w:eastAsia="zh-CN"/>
        </w:rPr>
        <w:t>B、</w:t>
      </w:r>
      <w:r>
        <w:rPr>
          <w:rFonts w:hint="eastAsia" w:ascii="仿宋_GB2312" w:hAnsi="仿宋_GB2312" w:eastAsia="仿宋_GB2312" w:cs="仿宋_GB2312"/>
          <w:color w:val="auto"/>
          <w:spacing w:val="24"/>
          <w:sz w:val="32"/>
          <w:szCs w:val="32"/>
          <w:highlight w:val="none"/>
        </w:rPr>
        <w:t>模块</w:t>
      </w:r>
      <w:r>
        <w:rPr>
          <w:rFonts w:hint="eastAsia" w:ascii="仿宋_GB2312" w:hAnsi="仿宋_GB2312" w:eastAsia="仿宋_GB2312" w:cs="仿宋_GB2312"/>
          <w:color w:val="auto"/>
          <w:spacing w:val="24"/>
          <w:sz w:val="32"/>
          <w:szCs w:val="32"/>
          <w:highlight w:val="none"/>
          <w:lang w:val="en-US" w:eastAsia="zh-CN"/>
        </w:rPr>
        <w:t>C</w:t>
      </w:r>
      <w:r>
        <w:rPr>
          <w:rFonts w:hint="eastAsia" w:ascii="仿宋_GB2312" w:hAnsi="仿宋_GB2312" w:eastAsia="仿宋_GB2312" w:cs="仿宋_GB2312"/>
          <w:color w:val="auto"/>
          <w:spacing w:val="24"/>
          <w:sz w:val="32"/>
          <w:szCs w:val="32"/>
          <w:highlight w:val="none"/>
        </w:rPr>
        <w:t>、模块</w:t>
      </w:r>
      <w:r>
        <w:rPr>
          <w:rFonts w:hint="eastAsia" w:ascii="仿宋_GB2312" w:hAnsi="仿宋_GB2312" w:eastAsia="仿宋_GB2312" w:cs="仿宋_GB2312"/>
          <w:color w:val="auto"/>
          <w:spacing w:val="24"/>
          <w:sz w:val="32"/>
          <w:szCs w:val="32"/>
          <w:highlight w:val="none"/>
          <w:lang w:val="en-US" w:eastAsia="zh-CN"/>
        </w:rPr>
        <w:t>D</w:t>
      </w:r>
      <w:r>
        <w:rPr>
          <w:rFonts w:hint="eastAsia" w:ascii="仿宋_GB2312" w:hAnsi="仿宋_GB2312" w:eastAsia="仿宋_GB2312" w:cs="仿宋_GB2312"/>
          <w:color w:val="auto"/>
          <w:spacing w:val="24"/>
          <w:sz w:val="32"/>
          <w:szCs w:val="32"/>
          <w:highlight w:val="none"/>
        </w:rPr>
        <w:t>的分值决定名次顺序。</w:t>
      </w:r>
    </w:p>
    <w:p w14:paraId="38610F29">
      <w:pPr>
        <w:pStyle w:val="4"/>
        <w:pageBreakBefore w:val="0"/>
        <w:widowControl w:val="0"/>
        <w:kinsoku/>
        <w:wordWrap/>
        <w:overflowPunct/>
        <w:topLinePunct w:val="0"/>
        <w:autoSpaceDE/>
        <w:autoSpaceDN/>
        <w:bidi w:val="0"/>
        <w:adjustRightInd w:val="0"/>
        <w:snapToGrid w:val="0"/>
        <w:spacing w:beforeAutospacing="0" w:afterAutospacing="0" w:line="600" w:lineRule="exact"/>
        <w:ind w:left="640"/>
        <w:textAlignment w:val="auto"/>
        <w:rPr>
          <w:rFonts w:hint="eastAsia" w:ascii="仿宋" w:hAnsi="仿宋" w:eastAsia="仿宋" w:cs="仿宋"/>
          <w:color w:val="auto"/>
          <w:sz w:val="32"/>
          <w:szCs w:val="32"/>
          <w:highlight w:val="none"/>
        </w:rPr>
      </w:pPr>
      <w:bookmarkStart w:id="12" w:name="_Toc18068"/>
      <w:r>
        <w:rPr>
          <w:rFonts w:hint="eastAsia" w:ascii="黑体" w:hAnsi="黑体" w:eastAsia="黑体" w:cs="黑体"/>
          <w:b w:val="0"/>
          <w:bCs/>
          <w:color w:val="auto"/>
          <w:sz w:val="32"/>
          <w:szCs w:val="32"/>
          <w:highlight w:val="none"/>
        </w:rPr>
        <w:t>三、竞赛细则</w:t>
      </w:r>
      <w:bookmarkEnd w:id="12"/>
    </w:p>
    <w:p w14:paraId="7D3C432C">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13" w:name="_Toc6057"/>
      <w:r>
        <w:rPr>
          <w:rFonts w:hint="eastAsia" w:ascii="楷体" w:hAnsi="楷体" w:eastAsia="楷体" w:cs="楷体"/>
          <w:b/>
          <w:bCs/>
          <w:color w:val="auto"/>
          <w:kern w:val="2"/>
          <w:sz w:val="32"/>
          <w:szCs w:val="32"/>
          <w:highlight w:val="none"/>
          <w:lang w:val="en-US" w:eastAsia="zh-CN" w:bidi="ar-SA"/>
        </w:rPr>
        <w:t>（一）竞赛时间安排</w:t>
      </w:r>
      <w:bookmarkEnd w:id="13"/>
    </w:p>
    <w:p w14:paraId="5AB2FB70">
      <w:pPr>
        <w:pageBreakBefore w:val="0"/>
        <w:widowControl w:val="0"/>
        <w:kinsoku/>
        <w:wordWrap/>
        <w:overflowPunct/>
        <w:topLinePunct w:val="0"/>
        <w:autoSpaceDE/>
        <w:autoSpaceDN/>
        <w:bidi w:val="0"/>
        <w:adjustRightInd w:val="0"/>
        <w:snapToGrid w:val="0"/>
        <w:spacing w:line="600" w:lineRule="exact"/>
        <w:ind w:left="778"/>
        <w:textAlignment w:val="auto"/>
        <w:rPr>
          <w:rFonts w:hint="eastAsia" w:ascii="仿宋_GB2312" w:hAnsi="仿宋_GB2312" w:eastAsia="仿宋_GB2312" w:cs="仿宋_GB2312"/>
          <w:color w:val="auto"/>
          <w:spacing w:val="7"/>
          <w:sz w:val="32"/>
          <w:szCs w:val="32"/>
          <w:highlight w:val="none"/>
        </w:rPr>
      </w:pPr>
      <w:r>
        <w:rPr>
          <w:rFonts w:hint="eastAsia" w:ascii="仿宋_GB2312" w:hAnsi="仿宋_GB2312" w:eastAsia="仿宋_GB2312" w:cs="仿宋_GB2312"/>
          <w:color w:val="auto"/>
          <w:spacing w:val="14"/>
          <w:sz w:val="32"/>
          <w:szCs w:val="32"/>
          <w:highlight w:val="none"/>
        </w:rPr>
        <w:t>具</w:t>
      </w:r>
      <w:r>
        <w:rPr>
          <w:rFonts w:hint="eastAsia" w:ascii="仿宋_GB2312" w:hAnsi="仿宋_GB2312" w:eastAsia="仿宋_GB2312" w:cs="仿宋_GB2312"/>
          <w:color w:val="auto"/>
          <w:spacing w:val="12"/>
          <w:sz w:val="32"/>
          <w:szCs w:val="32"/>
          <w:highlight w:val="none"/>
        </w:rPr>
        <w:t>体</w:t>
      </w:r>
      <w:r>
        <w:rPr>
          <w:rFonts w:hint="eastAsia" w:ascii="仿宋_GB2312" w:hAnsi="仿宋_GB2312" w:eastAsia="仿宋_GB2312" w:cs="仿宋_GB2312"/>
          <w:color w:val="auto"/>
          <w:spacing w:val="7"/>
          <w:sz w:val="32"/>
          <w:szCs w:val="32"/>
          <w:highlight w:val="none"/>
        </w:rPr>
        <w:t>的竞赛流程与时间安排见下表：</w:t>
      </w:r>
    </w:p>
    <w:p w14:paraId="7EE095E3">
      <w:pPr>
        <w:pStyle w:val="2"/>
        <w:ind w:left="0" w:leftChars="0" w:firstLine="0" w:firstLineChars="0"/>
        <w:jc w:val="center"/>
        <w:rPr>
          <w:rFonts w:hint="eastAsia" w:ascii="仿宋" w:hAnsi="仿宋" w:eastAsia="仿宋" w:cs="仿宋"/>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表6 化学实验室技术项目竞赛流程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976"/>
        <w:gridCol w:w="2850"/>
        <w:gridCol w:w="3046"/>
      </w:tblGrid>
      <w:tr w14:paraId="744F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vAlign w:val="center"/>
          </w:tcPr>
          <w:p w14:paraId="374F3B74">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日期</w:t>
            </w:r>
          </w:p>
        </w:tc>
        <w:tc>
          <w:tcPr>
            <w:tcW w:w="1976" w:type="dxa"/>
            <w:vAlign w:val="center"/>
          </w:tcPr>
          <w:p w14:paraId="77DD06EE">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时间</w:t>
            </w:r>
          </w:p>
        </w:tc>
        <w:tc>
          <w:tcPr>
            <w:tcW w:w="2850" w:type="dxa"/>
            <w:vAlign w:val="center"/>
          </w:tcPr>
          <w:p w14:paraId="2448CC35">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工作内容</w:t>
            </w:r>
          </w:p>
        </w:tc>
        <w:tc>
          <w:tcPr>
            <w:tcW w:w="3046" w:type="dxa"/>
            <w:vAlign w:val="center"/>
          </w:tcPr>
          <w:p w14:paraId="3A9759A3">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参与人员</w:t>
            </w:r>
          </w:p>
        </w:tc>
      </w:tr>
      <w:tr w14:paraId="6602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vAlign w:val="center"/>
          </w:tcPr>
          <w:p w14:paraId="70D2F05F">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C-1</w:t>
            </w:r>
          </w:p>
        </w:tc>
        <w:tc>
          <w:tcPr>
            <w:tcW w:w="1976" w:type="dxa"/>
            <w:vAlign w:val="center"/>
          </w:tcPr>
          <w:p w14:paraId="5A759F4A">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上午</w:t>
            </w:r>
          </w:p>
        </w:tc>
        <w:tc>
          <w:tcPr>
            <w:tcW w:w="2850" w:type="dxa"/>
            <w:vAlign w:val="center"/>
          </w:tcPr>
          <w:p w14:paraId="43F33CAE">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 xml:space="preserve">参赛选手、裁判员报到 </w:t>
            </w:r>
          </w:p>
        </w:tc>
        <w:tc>
          <w:tcPr>
            <w:tcW w:w="3046" w:type="dxa"/>
            <w:vAlign w:val="center"/>
          </w:tcPr>
          <w:p w14:paraId="6121624A">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参赛选手、裁判员</w:t>
            </w:r>
          </w:p>
        </w:tc>
      </w:tr>
      <w:tr w14:paraId="2040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dxa"/>
            <w:vAlign w:val="center"/>
          </w:tcPr>
          <w:p w14:paraId="45BDE22C">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C-1</w:t>
            </w:r>
          </w:p>
        </w:tc>
        <w:tc>
          <w:tcPr>
            <w:tcW w:w="1976" w:type="dxa"/>
            <w:vAlign w:val="center"/>
          </w:tcPr>
          <w:p w14:paraId="71458EDD">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下午</w:t>
            </w:r>
          </w:p>
        </w:tc>
        <w:tc>
          <w:tcPr>
            <w:tcW w:w="2850" w:type="dxa"/>
            <w:vAlign w:val="center"/>
          </w:tcPr>
          <w:p w14:paraId="4DDACEEF">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裁判员培训、参赛选手熟悉设施设备场地、验收封存设施</w:t>
            </w:r>
            <w:r>
              <w:rPr>
                <w:rFonts w:hint="eastAsia" w:ascii="仿宋_GB2312" w:hAnsi="仿宋_GB2312" w:eastAsia="仿宋_GB2312" w:cs="仿宋_GB2312"/>
                <w:color w:val="auto"/>
                <w:kern w:val="0"/>
                <w:sz w:val="32"/>
                <w:szCs w:val="32"/>
                <w:highlight w:val="none"/>
                <w:lang w:val="en-US" w:eastAsia="zh-CN" w:bidi="ar"/>
              </w:rPr>
              <w:t>设</w:t>
            </w:r>
            <w:r>
              <w:rPr>
                <w:rFonts w:hint="eastAsia" w:ascii="仿宋_GB2312" w:hAnsi="仿宋_GB2312" w:eastAsia="仿宋_GB2312" w:cs="仿宋_GB2312"/>
                <w:color w:val="auto"/>
                <w:kern w:val="0"/>
                <w:sz w:val="32"/>
                <w:szCs w:val="32"/>
                <w:highlight w:val="none"/>
                <w:lang w:bidi="ar"/>
              </w:rPr>
              <w:t xml:space="preserve">备场地 </w:t>
            </w:r>
          </w:p>
        </w:tc>
        <w:tc>
          <w:tcPr>
            <w:tcW w:w="3046" w:type="dxa"/>
            <w:vAlign w:val="center"/>
          </w:tcPr>
          <w:p w14:paraId="118E839E">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参赛选手、裁判长、裁判长助理、裁判员、场地经理、场地经理助理、技术</w:t>
            </w:r>
            <w:r>
              <w:rPr>
                <w:rFonts w:hint="eastAsia" w:ascii="仿宋_GB2312" w:hAnsi="仿宋_GB2312" w:eastAsia="仿宋_GB2312" w:cs="仿宋_GB2312"/>
                <w:color w:val="auto"/>
                <w:sz w:val="32"/>
                <w:szCs w:val="32"/>
                <w:highlight w:val="none"/>
              </w:rPr>
              <w:t>负责人、技术支持人员</w:t>
            </w:r>
            <w:r>
              <w:rPr>
                <w:rFonts w:hint="eastAsia" w:ascii="仿宋_GB2312" w:hAnsi="仿宋_GB2312" w:eastAsia="仿宋_GB2312" w:cs="仿宋_GB2312"/>
                <w:color w:val="auto"/>
                <w:kern w:val="0"/>
                <w:sz w:val="32"/>
                <w:szCs w:val="32"/>
                <w:highlight w:val="none"/>
                <w:lang w:bidi="ar"/>
              </w:rPr>
              <w:t>、监督仲裁组</w:t>
            </w:r>
          </w:p>
        </w:tc>
      </w:tr>
      <w:tr w14:paraId="667C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restart"/>
            <w:vAlign w:val="center"/>
          </w:tcPr>
          <w:p w14:paraId="41442F11">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C1</w:t>
            </w:r>
          </w:p>
        </w:tc>
        <w:tc>
          <w:tcPr>
            <w:tcW w:w="1976" w:type="dxa"/>
            <w:vAlign w:val="center"/>
          </w:tcPr>
          <w:p w14:paraId="617AFDBF">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8:00-8:30</w:t>
            </w:r>
          </w:p>
        </w:tc>
        <w:tc>
          <w:tcPr>
            <w:tcW w:w="2850" w:type="dxa"/>
            <w:vAlign w:val="center"/>
          </w:tcPr>
          <w:p w14:paraId="4328C34B">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选手检录、抽工位号入场</w:t>
            </w:r>
          </w:p>
        </w:tc>
        <w:tc>
          <w:tcPr>
            <w:tcW w:w="3046" w:type="dxa"/>
            <w:vMerge w:val="restart"/>
            <w:vAlign w:val="center"/>
          </w:tcPr>
          <w:p w14:paraId="2CF8C706">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 xml:space="preserve">参赛选手、裁判组、场地经理、技术支持人员、督导员 </w:t>
            </w:r>
          </w:p>
        </w:tc>
      </w:tr>
      <w:tr w14:paraId="5518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continue"/>
            <w:vAlign w:val="center"/>
          </w:tcPr>
          <w:p w14:paraId="12B0F383">
            <w:pPr>
              <w:keepNext w:val="0"/>
              <w:keepLines w:val="0"/>
              <w:pageBreakBefore w:val="0"/>
              <w:kinsoku/>
              <w:wordWrap/>
              <w:overflowPunct/>
              <w:topLinePunct w:val="0"/>
              <w:autoSpaceDE/>
              <w:autoSpaceDN/>
              <w:bidi w:val="0"/>
              <w:adjustRightInd w:val="0"/>
              <w:snapToGrid w:val="0"/>
              <w:spacing w:line="600" w:lineRule="exact"/>
              <w:jc w:val="center"/>
              <w:textAlignment w:val="auto"/>
              <w:rPr>
                <w:color w:val="auto"/>
                <w:highlight w:val="none"/>
              </w:rPr>
            </w:pPr>
          </w:p>
        </w:tc>
        <w:tc>
          <w:tcPr>
            <w:tcW w:w="1976" w:type="dxa"/>
            <w:vAlign w:val="center"/>
          </w:tcPr>
          <w:p w14:paraId="325FF4C9">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8:30-11:30</w:t>
            </w:r>
          </w:p>
        </w:tc>
        <w:tc>
          <w:tcPr>
            <w:tcW w:w="2850" w:type="dxa"/>
            <w:vAlign w:val="center"/>
          </w:tcPr>
          <w:p w14:paraId="1D07E018">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bidi="ar"/>
              </w:rPr>
              <w:t>A模块</w:t>
            </w:r>
            <w:r>
              <w:rPr>
                <w:rFonts w:hint="eastAsia" w:ascii="仿宋_GB2312" w:hAnsi="仿宋_GB2312" w:eastAsia="仿宋_GB2312" w:cs="仿宋_GB2312"/>
                <w:color w:val="auto"/>
                <w:kern w:val="0"/>
                <w:sz w:val="32"/>
                <w:szCs w:val="32"/>
                <w:highlight w:val="none"/>
                <w:lang w:val="en-US" w:eastAsia="zh-CN" w:bidi="ar"/>
              </w:rPr>
              <w:t>竞赛</w:t>
            </w:r>
          </w:p>
        </w:tc>
        <w:tc>
          <w:tcPr>
            <w:tcW w:w="3046" w:type="dxa"/>
            <w:vMerge w:val="continue"/>
            <w:vAlign w:val="center"/>
          </w:tcPr>
          <w:p w14:paraId="7BE7BA55">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r>
      <w:tr w14:paraId="45F9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continue"/>
            <w:vAlign w:val="center"/>
          </w:tcPr>
          <w:p w14:paraId="00056705">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c>
          <w:tcPr>
            <w:tcW w:w="1976" w:type="dxa"/>
            <w:vAlign w:val="center"/>
          </w:tcPr>
          <w:p w14:paraId="7A1283A7">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12:00-13:00</w:t>
            </w:r>
          </w:p>
        </w:tc>
        <w:tc>
          <w:tcPr>
            <w:tcW w:w="2850" w:type="dxa"/>
            <w:vAlign w:val="center"/>
          </w:tcPr>
          <w:p w14:paraId="52E4A9C0">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午餐</w:t>
            </w:r>
          </w:p>
        </w:tc>
        <w:tc>
          <w:tcPr>
            <w:tcW w:w="3046" w:type="dxa"/>
            <w:vAlign w:val="center"/>
          </w:tcPr>
          <w:p w14:paraId="5FFD0345">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后勤保障组</w:t>
            </w:r>
          </w:p>
        </w:tc>
      </w:tr>
      <w:tr w14:paraId="6CC6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continue"/>
            <w:vAlign w:val="center"/>
          </w:tcPr>
          <w:p w14:paraId="069F8C0E">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c>
          <w:tcPr>
            <w:tcW w:w="1976" w:type="dxa"/>
            <w:vAlign w:val="center"/>
          </w:tcPr>
          <w:p w14:paraId="4DFC3107">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13:30-14:00</w:t>
            </w:r>
          </w:p>
        </w:tc>
        <w:tc>
          <w:tcPr>
            <w:tcW w:w="2850" w:type="dxa"/>
            <w:vAlign w:val="center"/>
          </w:tcPr>
          <w:p w14:paraId="45199531">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选手检录、抽工位号入场</w:t>
            </w:r>
          </w:p>
        </w:tc>
        <w:tc>
          <w:tcPr>
            <w:tcW w:w="3046" w:type="dxa"/>
            <w:vMerge w:val="restart"/>
            <w:vAlign w:val="center"/>
          </w:tcPr>
          <w:p w14:paraId="55F97FB6">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 xml:space="preserve">参赛选手、裁判组、场地经理、技术支持人员、督导员  </w:t>
            </w:r>
          </w:p>
        </w:tc>
      </w:tr>
      <w:tr w14:paraId="12F4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continue"/>
            <w:vAlign w:val="center"/>
          </w:tcPr>
          <w:p w14:paraId="32EBA6F9">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c>
          <w:tcPr>
            <w:tcW w:w="1976" w:type="dxa"/>
            <w:vAlign w:val="center"/>
          </w:tcPr>
          <w:p w14:paraId="378986C3">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14:00-17:00</w:t>
            </w:r>
          </w:p>
        </w:tc>
        <w:tc>
          <w:tcPr>
            <w:tcW w:w="2850" w:type="dxa"/>
            <w:vAlign w:val="center"/>
          </w:tcPr>
          <w:p w14:paraId="4A5A4613">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B模块竞赛</w:t>
            </w:r>
          </w:p>
        </w:tc>
        <w:tc>
          <w:tcPr>
            <w:tcW w:w="3046" w:type="dxa"/>
            <w:vMerge w:val="continue"/>
            <w:vAlign w:val="center"/>
          </w:tcPr>
          <w:p w14:paraId="01421362">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r>
      <w:tr w14:paraId="7347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restart"/>
            <w:vAlign w:val="center"/>
          </w:tcPr>
          <w:p w14:paraId="1054F770">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bidi="ar"/>
              </w:rPr>
              <w:t>C</w:t>
            </w:r>
            <w:r>
              <w:rPr>
                <w:rFonts w:hint="eastAsia" w:ascii="仿宋_GB2312" w:hAnsi="仿宋_GB2312" w:eastAsia="仿宋_GB2312" w:cs="仿宋_GB2312"/>
                <w:color w:val="auto"/>
                <w:kern w:val="0"/>
                <w:sz w:val="32"/>
                <w:szCs w:val="32"/>
                <w:highlight w:val="none"/>
                <w:lang w:val="en-US" w:eastAsia="zh-CN" w:bidi="ar"/>
              </w:rPr>
              <w:t>2</w:t>
            </w:r>
          </w:p>
        </w:tc>
        <w:tc>
          <w:tcPr>
            <w:tcW w:w="1976" w:type="dxa"/>
            <w:vAlign w:val="center"/>
          </w:tcPr>
          <w:p w14:paraId="15644FD8">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8:00-8:30</w:t>
            </w:r>
          </w:p>
        </w:tc>
        <w:tc>
          <w:tcPr>
            <w:tcW w:w="2850" w:type="dxa"/>
            <w:vAlign w:val="center"/>
          </w:tcPr>
          <w:p w14:paraId="2AA3EFF8">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bidi="ar"/>
              </w:rPr>
              <w:t>选手检录、抽工位号入场</w:t>
            </w:r>
          </w:p>
        </w:tc>
        <w:tc>
          <w:tcPr>
            <w:tcW w:w="3046" w:type="dxa"/>
            <w:vMerge w:val="restart"/>
            <w:vAlign w:val="center"/>
          </w:tcPr>
          <w:p w14:paraId="6A5E67EC">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bidi="ar"/>
              </w:rPr>
              <w:t xml:space="preserve">参赛选手、裁判组、场地经理、技术支持人员、督导员 </w:t>
            </w:r>
          </w:p>
        </w:tc>
      </w:tr>
      <w:tr w14:paraId="5879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continue"/>
            <w:vAlign w:val="center"/>
          </w:tcPr>
          <w:p w14:paraId="16820262">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c>
          <w:tcPr>
            <w:tcW w:w="1976" w:type="dxa"/>
            <w:vAlign w:val="center"/>
          </w:tcPr>
          <w:p w14:paraId="4900960A">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8:30-11:30</w:t>
            </w:r>
          </w:p>
        </w:tc>
        <w:tc>
          <w:tcPr>
            <w:tcW w:w="2850" w:type="dxa"/>
            <w:vAlign w:val="center"/>
          </w:tcPr>
          <w:p w14:paraId="380ED136">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C</w:t>
            </w:r>
            <w:r>
              <w:rPr>
                <w:rFonts w:hint="eastAsia" w:ascii="仿宋_GB2312" w:hAnsi="仿宋_GB2312" w:eastAsia="仿宋_GB2312" w:cs="仿宋_GB2312"/>
                <w:color w:val="auto"/>
                <w:kern w:val="0"/>
                <w:sz w:val="32"/>
                <w:szCs w:val="32"/>
                <w:highlight w:val="none"/>
                <w:lang w:bidi="ar"/>
              </w:rPr>
              <w:t>模块</w:t>
            </w:r>
            <w:r>
              <w:rPr>
                <w:rFonts w:hint="eastAsia" w:ascii="仿宋_GB2312" w:hAnsi="仿宋_GB2312" w:eastAsia="仿宋_GB2312" w:cs="仿宋_GB2312"/>
                <w:color w:val="auto"/>
                <w:kern w:val="0"/>
                <w:sz w:val="32"/>
                <w:szCs w:val="32"/>
                <w:highlight w:val="none"/>
                <w:lang w:val="en-US" w:eastAsia="zh-CN" w:bidi="ar"/>
              </w:rPr>
              <w:t>竞赛</w:t>
            </w:r>
          </w:p>
        </w:tc>
        <w:tc>
          <w:tcPr>
            <w:tcW w:w="3046" w:type="dxa"/>
            <w:vMerge w:val="continue"/>
            <w:vAlign w:val="center"/>
          </w:tcPr>
          <w:p w14:paraId="596837E3">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r>
      <w:tr w14:paraId="38E2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continue"/>
            <w:vAlign w:val="center"/>
          </w:tcPr>
          <w:p w14:paraId="55B144BE">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c>
          <w:tcPr>
            <w:tcW w:w="1976" w:type="dxa"/>
            <w:vAlign w:val="center"/>
          </w:tcPr>
          <w:p w14:paraId="40DF09ED">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12:00-13:00</w:t>
            </w:r>
          </w:p>
        </w:tc>
        <w:tc>
          <w:tcPr>
            <w:tcW w:w="2850" w:type="dxa"/>
            <w:vAlign w:val="center"/>
          </w:tcPr>
          <w:p w14:paraId="13DD320B">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bidi="ar"/>
              </w:rPr>
              <w:t>午餐</w:t>
            </w:r>
          </w:p>
        </w:tc>
        <w:tc>
          <w:tcPr>
            <w:tcW w:w="3046" w:type="dxa"/>
            <w:vAlign w:val="center"/>
          </w:tcPr>
          <w:p w14:paraId="3FAE378E">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bidi="ar"/>
              </w:rPr>
              <w:t>后勤保障组</w:t>
            </w:r>
          </w:p>
        </w:tc>
      </w:tr>
      <w:tr w14:paraId="43D3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continue"/>
            <w:vAlign w:val="center"/>
          </w:tcPr>
          <w:p w14:paraId="755A5D9C">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p>
        </w:tc>
        <w:tc>
          <w:tcPr>
            <w:tcW w:w="1976" w:type="dxa"/>
            <w:vAlign w:val="center"/>
          </w:tcPr>
          <w:p w14:paraId="68F1F140">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13:30-14:00</w:t>
            </w:r>
          </w:p>
        </w:tc>
        <w:tc>
          <w:tcPr>
            <w:tcW w:w="2850" w:type="dxa"/>
            <w:vAlign w:val="center"/>
          </w:tcPr>
          <w:p w14:paraId="4B899F69">
            <w:pPr>
              <w:keepNext w:val="0"/>
              <w:keepLines w:val="0"/>
              <w:pageBreakBefore w:val="0"/>
              <w:widowControl/>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bidi="ar"/>
              </w:rPr>
              <w:t>选手检录、抽工位号入场</w:t>
            </w:r>
          </w:p>
        </w:tc>
        <w:tc>
          <w:tcPr>
            <w:tcW w:w="3046" w:type="dxa"/>
            <w:vMerge w:val="restart"/>
            <w:vAlign w:val="center"/>
          </w:tcPr>
          <w:p w14:paraId="20BB6C8F">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bidi="ar"/>
              </w:rPr>
              <w:t xml:space="preserve">参赛选手、裁判组、场地经理、技术支持人员、督导员  </w:t>
            </w:r>
          </w:p>
        </w:tc>
      </w:tr>
      <w:tr w14:paraId="2A18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9" w:type="dxa"/>
            <w:vMerge w:val="continue"/>
            <w:vAlign w:val="center"/>
          </w:tcPr>
          <w:p w14:paraId="123D73FF">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bidi="ar"/>
              </w:rPr>
            </w:pPr>
            <w:bookmarkStart w:id="14" w:name="_Toc2911"/>
          </w:p>
        </w:tc>
        <w:tc>
          <w:tcPr>
            <w:tcW w:w="1976" w:type="dxa"/>
            <w:vAlign w:val="center"/>
          </w:tcPr>
          <w:p w14:paraId="0F6D2B40">
            <w:pPr>
              <w:keepNext w:val="0"/>
              <w:keepLines w:val="0"/>
              <w:pageBreakBefore w:val="0"/>
              <w:kinsoku/>
              <w:wordWrap/>
              <w:overflowPunct/>
              <w:topLinePunct w:val="0"/>
              <w:autoSpaceDE/>
              <w:autoSpaceDN/>
              <w:bidi w:val="0"/>
              <w:adjustRightInd w:val="0"/>
              <w:snapToGrid w:val="0"/>
              <w:spacing w:line="600" w:lineRule="exact"/>
              <w:jc w:val="center"/>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14:00-17:</w:t>
            </w:r>
            <w:r>
              <w:rPr>
                <w:rFonts w:hint="eastAsia" w:ascii="仿宋_GB2312" w:hAnsi="仿宋_GB2312" w:eastAsia="仿宋_GB2312" w:cs="仿宋_GB2312"/>
                <w:color w:val="auto"/>
                <w:kern w:val="0"/>
                <w:sz w:val="32"/>
                <w:szCs w:val="32"/>
                <w:highlight w:val="none"/>
                <w:lang w:val="en-US" w:eastAsia="zh-CN" w:bidi="ar"/>
                <w:woUserID w:val="5"/>
              </w:rPr>
              <w:t>0</w:t>
            </w:r>
            <w:r>
              <w:rPr>
                <w:rFonts w:hint="eastAsia" w:ascii="仿宋_GB2312" w:hAnsi="仿宋_GB2312" w:eastAsia="仿宋_GB2312" w:cs="仿宋_GB2312"/>
                <w:color w:val="auto"/>
                <w:kern w:val="0"/>
                <w:sz w:val="32"/>
                <w:szCs w:val="32"/>
                <w:highlight w:val="none"/>
                <w:lang w:val="en-US" w:eastAsia="zh-CN" w:bidi="ar"/>
              </w:rPr>
              <w:t>0</w:t>
            </w:r>
          </w:p>
        </w:tc>
        <w:tc>
          <w:tcPr>
            <w:tcW w:w="2850" w:type="dxa"/>
            <w:vAlign w:val="center"/>
          </w:tcPr>
          <w:p w14:paraId="4B1DCBDC">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D</w:t>
            </w:r>
            <w:r>
              <w:rPr>
                <w:rFonts w:hint="eastAsia" w:ascii="仿宋_GB2312" w:hAnsi="仿宋_GB2312" w:eastAsia="仿宋_GB2312" w:cs="仿宋_GB2312"/>
                <w:color w:val="auto"/>
                <w:kern w:val="0"/>
                <w:sz w:val="32"/>
                <w:szCs w:val="32"/>
                <w:highlight w:val="none"/>
                <w:lang w:bidi="ar"/>
              </w:rPr>
              <w:t>模块竞赛</w:t>
            </w:r>
          </w:p>
        </w:tc>
        <w:tc>
          <w:tcPr>
            <w:tcW w:w="3046" w:type="dxa"/>
            <w:vMerge w:val="continue"/>
            <w:vAlign w:val="center"/>
          </w:tcPr>
          <w:p w14:paraId="7302C617">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kern w:val="0"/>
                <w:sz w:val="32"/>
                <w:szCs w:val="32"/>
                <w:highlight w:val="none"/>
                <w:lang w:bidi="ar"/>
              </w:rPr>
            </w:pPr>
          </w:p>
        </w:tc>
      </w:tr>
    </w:tbl>
    <w:p w14:paraId="0565FCEC">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kern w:val="2"/>
          <w:sz w:val="32"/>
          <w:szCs w:val="32"/>
          <w:highlight w:val="none"/>
          <w:lang w:val="en-US" w:eastAsia="zh-CN" w:bidi="ar-SA"/>
        </w:rPr>
        <w:t>（二）参赛选手及工作要求</w:t>
      </w:r>
      <w:bookmarkEnd w:id="14"/>
    </w:p>
    <w:p w14:paraId="2B9D751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1.凡200</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年1月1日以后出生</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中国大陆公民,可按属地原则报名参赛。已获得“中华技能大奖”“全国技术能手”的人员不以选手身份参赛。</w:t>
      </w:r>
    </w:p>
    <w:p w14:paraId="490EAF0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2.赛前熟悉比赛技术规则，进行有针对性的训练准备，积极锻炼身体，调整好心态。</w:t>
      </w:r>
    </w:p>
    <w:p w14:paraId="5F4F5ED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3.提前报到，熟悉适应赛区环境、住宿、饮食和交通等。</w:t>
      </w:r>
    </w:p>
    <w:p w14:paraId="3734891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4.参赛选手在各模块比赛期间实行封闭管理，接受工作人员的安全检查和行动指引。</w:t>
      </w:r>
    </w:p>
    <w:p w14:paraId="550D8FD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5.参赛选手按照《赛务手册》的要求，按时到赛场熟悉场地环境和仪器设备。</w:t>
      </w:r>
    </w:p>
    <w:p w14:paraId="193C92D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6.参赛选手须按照竞赛模块表内规定的时间和工作模块进行竞赛。</w:t>
      </w:r>
    </w:p>
    <w:p w14:paraId="3B8F683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7.竞赛期间，除非裁判长同意，参赛选手不得离开竞赛规定区域，不得提出申请索要与竞赛内容无关的实验设备、试剂及资料。</w:t>
      </w:r>
    </w:p>
    <w:p w14:paraId="0238237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8.参赛选手完成竞赛内容并上交相应的资料后方可离开竞赛现场，不得带出任何竞赛实验室提供的设备、试剂及竞赛资料。选手如果在规定的时间内没有完成竞赛内容，裁判员将按照竞赛规定要求选手停止竞赛。</w:t>
      </w:r>
    </w:p>
    <w:p w14:paraId="1E90BCEB">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15" w:name="_bookmark11"/>
      <w:bookmarkEnd w:id="15"/>
      <w:bookmarkStart w:id="16" w:name="_Toc3976"/>
      <w:r>
        <w:rPr>
          <w:rFonts w:hint="eastAsia" w:ascii="楷体" w:hAnsi="楷体" w:eastAsia="楷体" w:cs="楷体"/>
          <w:b/>
          <w:bCs/>
          <w:color w:val="auto"/>
          <w:kern w:val="2"/>
          <w:sz w:val="32"/>
          <w:szCs w:val="32"/>
          <w:highlight w:val="none"/>
          <w:lang w:val="en-US" w:eastAsia="zh-CN" w:bidi="ar-SA"/>
        </w:rPr>
        <w:t>（三）裁判人员及工作要求</w:t>
      </w:r>
      <w:bookmarkEnd w:id="16"/>
    </w:p>
    <w:p w14:paraId="062C883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包括各项目裁判组全体成员。</w:t>
      </w:r>
    </w:p>
    <w:p w14:paraId="1A3CB85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1.裁判长</w:t>
      </w:r>
    </w:p>
    <w:p w14:paraId="006B9AC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裁判长由</w:t>
      </w:r>
      <w:r>
        <w:rPr>
          <w:rFonts w:hint="eastAsia" w:ascii="仿宋_GB2312" w:hAnsi="仿宋_GB2312" w:eastAsia="仿宋_GB2312" w:cs="仿宋_GB2312"/>
          <w:color w:val="auto"/>
          <w:sz w:val="32"/>
          <w:szCs w:val="32"/>
          <w:highlight w:val="none"/>
          <w:lang w:val="en-US" w:eastAsia="zh-CN"/>
        </w:rPr>
        <w:t>省</w:t>
      </w:r>
      <w:r>
        <w:rPr>
          <w:rFonts w:hint="eastAsia" w:ascii="仿宋_GB2312" w:hAnsi="仿宋_GB2312" w:eastAsia="仿宋_GB2312" w:cs="仿宋_GB2312"/>
          <w:color w:val="auto"/>
          <w:sz w:val="32"/>
          <w:szCs w:val="32"/>
          <w:highlight w:val="none"/>
        </w:rPr>
        <w:t>组委会技术工作组遴选确定。秉承公平公正原则做好相应沟通协调、落实竞赛各项技术工作、不参与参赛选手评判工作。</w:t>
      </w:r>
    </w:p>
    <w:p w14:paraId="6EA4BF8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做好本项目裁判员</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含裁判长助理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的赛前培训和本项目赛前技术交流，组织本项目开展赛后技术总结和技术点评。</w:t>
      </w:r>
    </w:p>
    <w:p w14:paraId="6220138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2.裁判长助理</w:t>
      </w:r>
    </w:p>
    <w:p w14:paraId="5E0B6DA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协助裁判长做好各项竞赛组织实施工作、不参与参赛选手评判工作。</w:t>
      </w:r>
    </w:p>
    <w:p w14:paraId="48EAE6B3">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3.裁判员</w:t>
      </w:r>
    </w:p>
    <w:p w14:paraId="449583D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（1）裁判员由各代表队择优推荐，每个参赛项目限推荐1名裁判员。经省组委会技术工作组审核确定后承担裁判员执裁工作。全部裁判工作均采取回避制度，裁判员不对来自同一参赛队的选手进行评判。</w:t>
      </w:r>
    </w:p>
    <w:p w14:paraId="2C9638C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（2）如裁判员人数不能满足工作需要，由项目裁判长在赛前提出增加裁判员人选申请，由省组委会技术工作组遴选确定后增补。</w:t>
      </w:r>
    </w:p>
    <w:p w14:paraId="39D0902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裁判员服从裁判长工作安排，认真做好本职工作；熟练掌握竞赛技术规则，参加赛前培训和技术讨论；对有争议的问题提出客观、公正、合理的意见和建议；公平公正执裁，不徇私舞弊；坚守岗位，严格遵守执裁时间安排，保证执裁工作正常进行。</w:t>
      </w:r>
    </w:p>
    <w:p w14:paraId="0BCC9AA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）裁判员的工作分为检录、现场过程评价、终结性测量评分、复核等，工作分小组开展。</w:t>
      </w:r>
    </w:p>
    <w:p w14:paraId="2DD3CE9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）裁判员在工作期间不得使用手机、照相机、录像机等设备，否则取消裁判资格。</w:t>
      </w:r>
    </w:p>
    <w:p w14:paraId="5E85DCD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）裁判与选手不能进行交流，竞赛时如有选手提出问题，必须有 2 名及以上裁判在现场。</w:t>
      </w:r>
    </w:p>
    <w:p w14:paraId="64F6236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）如果选手因个人原因退出比赛，相应参赛单位的裁判员也应退出，不再进行相应的执裁工作。</w:t>
      </w:r>
    </w:p>
    <w:p w14:paraId="01B8FC1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4.工作人员</w:t>
      </w:r>
    </w:p>
    <w:p w14:paraId="7A994A7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包括技术支持人员、录分员及赛务保障人员等。按照大赛统一要求，在裁判长领导下做好相应的竞赛保障工作。</w:t>
      </w:r>
    </w:p>
    <w:p w14:paraId="1494375B">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17" w:name="_bookmark12"/>
      <w:bookmarkEnd w:id="17"/>
      <w:bookmarkStart w:id="18" w:name="_Toc26783"/>
      <w:r>
        <w:rPr>
          <w:rFonts w:hint="eastAsia" w:ascii="楷体" w:hAnsi="楷体" w:eastAsia="楷体" w:cs="楷体"/>
          <w:b/>
          <w:bCs/>
          <w:color w:val="auto"/>
          <w:kern w:val="2"/>
          <w:sz w:val="32"/>
          <w:szCs w:val="32"/>
          <w:highlight w:val="none"/>
          <w:lang w:val="en-US" w:eastAsia="zh-CN" w:bidi="ar-SA"/>
        </w:rPr>
        <w:t>（四）问题或争议处理</w:t>
      </w:r>
      <w:bookmarkEnd w:id="18"/>
    </w:p>
    <w:p w14:paraId="02D4C57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对竞赛期间出现的问题或争议按以下程序解决：</w:t>
      </w:r>
    </w:p>
    <w:p w14:paraId="193FAD6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1.竞赛项目内解决</w:t>
      </w:r>
    </w:p>
    <w:p w14:paraId="1AA421F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参赛选手、裁判员发现竞赛过程中存在问题或争议，应向裁判长反映。裁判长依据相关规定处理或组织比赛现场裁判员研究解决。处理意见需比赛现场全体裁判员表决的，须获全体裁判员半数以上通过。最终处理意见应及时告知意见反映人，并填写《</w:t>
      </w:r>
      <w:r>
        <w:rPr>
          <w:rFonts w:hint="eastAsia" w:ascii="仿宋_GB2312" w:hAnsi="仿宋_GB2312" w:eastAsia="仿宋_GB2312" w:cs="仿宋_GB2312"/>
          <w:color w:val="auto"/>
          <w:sz w:val="32"/>
          <w:szCs w:val="32"/>
          <w:highlight w:val="none"/>
          <w:lang w:eastAsia="zh-CN"/>
        </w:rPr>
        <w:t>第二届</w:t>
      </w:r>
      <w:r>
        <w:rPr>
          <w:rFonts w:hint="eastAsia" w:ascii="仿宋_GB2312" w:hAnsi="仿宋_GB2312" w:eastAsia="仿宋_GB2312" w:cs="仿宋_GB2312"/>
          <w:color w:val="auto"/>
          <w:sz w:val="32"/>
          <w:szCs w:val="32"/>
          <w:highlight w:val="none"/>
        </w:rPr>
        <w:t>全省技能大赛问题或争议处理记录表》。</w:t>
      </w:r>
    </w:p>
    <w:p w14:paraId="58244E0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2.监督仲裁组解决</w:t>
      </w:r>
    </w:p>
    <w:p w14:paraId="353558B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对项目内处理结果有异议的，在规定时间内，各参赛队领队可向监督仲裁组出具署名的书面反映材料并举证。</w:t>
      </w:r>
    </w:p>
    <w:p w14:paraId="7D43A165">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19" w:name="_bookmark13"/>
      <w:bookmarkEnd w:id="19"/>
      <w:bookmarkStart w:id="20" w:name="_Toc25174"/>
      <w:r>
        <w:rPr>
          <w:rFonts w:hint="eastAsia" w:ascii="楷体" w:hAnsi="楷体" w:eastAsia="楷体" w:cs="楷体"/>
          <w:b/>
          <w:bCs/>
          <w:color w:val="auto"/>
          <w:kern w:val="2"/>
          <w:sz w:val="32"/>
          <w:szCs w:val="32"/>
          <w:highlight w:val="none"/>
          <w:lang w:val="en-US" w:eastAsia="zh-CN" w:bidi="ar-SA"/>
        </w:rPr>
        <w:t>（五）纪律要求</w:t>
      </w:r>
      <w:bookmarkEnd w:id="20"/>
    </w:p>
    <w:p w14:paraId="638E3C0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1．选手赛场纪律</w:t>
      </w:r>
    </w:p>
    <w:p w14:paraId="76FA312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（1）参赛选手应按照技术文件和考核项目试题要求，在规定的时间内独立完成。</w:t>
      </w:r>
    </w:p>
    <w:p w14:paraId="28115C8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（2）选手在C-1通过抽签决定数据</w:t>
      </w:r>
      <w:r>
        <w:rPr>
          <w:rFonts w:hint="eastAsia" w:ascii="仿宋_GB2312" w:hAnsi="仿宋_GB2312" w:eastAsia="仿宋_GB2312" w:cs="仿宋_GB2312"/>
          <w:color w:val="auto"/>
          <w:sz w:val="32"/>
          <w:szCs w:val="32"/>
          <w:highlight w:val="none"/>
          <w:lang w:val="en-US" w:eastAsia="zh-CN"/>
        </w:rPr>
        <w:t>和文档</w:t>
      </w:r>
      <w:r>
        <w:rPr>
          <w:rFonts w:hint="eastAsia" w:ascii="仿宋_GB2312" w:hAnsi="仿宋_GB2312" w:eastAsia="仿宋_GB2312" w:cs="仿宋_GB2312"/>
          <w:color w:val="auto"/>
          <w:sz w:val="32"/>
          <w:szCs w:val="32"/>
          <w:highlight w:val="none"/>
        </w:rPr>
        <w:t>操作工位。</w:t>
      </w:r>
    </w:p>
    <w:p w14:paraId="75D05D9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（3）选手在比赛期间不得使用手机、照相机、录像机等设备，不得携带和使用自带的任何存储设备。</w:t>
      </w:r>
    </w:p>
    <w:p w14:paraId="5DB6E96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（4）选手在比赛期间，除裁判长外，除非必要任何人员不得主动接近选手及其工作区域，不许主动与选手接触与交流。</w:t>
      </w:r>
    </w:p>
    <w:p w14:paraId="4D7308E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（5）比赛结束铃声响起以后，选手应立即停止工作。并将图纸、试卷、实验报告提交给裁判人员。</w:t>
      </w:r>
    </w:p>
    <w:p w14:paraId="215FF38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（6）未经裁判长允许，选手不得延长比赛时间。</w:t>
      </w:r>
    </w:p>
    <w:p w14:paraId="37E2116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（7）比赛开始10分钟后</w:t>
      </w:r>
      <w:r>
        <w:rPr>
          <w:rFonts w:hint="eastAsia" w:ascii="仿宋_GB2312" w:hAnsi="仿宋_GB2312" w:eastAsia="仿宋_GB2312" w:cs="仿宋_GB2312"/>
          <w:color w:val="auto"/>
          <w:sz w:val="32"/>
          <w:szCs w:val="32"/>
          <w:highlight w:val="none"/>
          <w:lang w:val="en-US" w:eastAsia="zh-CN"/>
        </w:rPr>
        <w:t>未</w:t>
      </w:r>
      <w:r>
        <w:rPr>
          <w:rFonts w:hint="eastAsia" w:ascii="仿宋_GB2312" w:hAnsi="仿宋_GB2312" w:eastAsia="仿宋_GB2312" w:cs="仿宋_GB2312"/>
          <w:color w:val="auto"/>
          <w:sz w:val="32"/>
          <w:szCs w:val="32"/>
          <w:highlight w:val="none"/>
        </w:rPr>
        <w:t>到赛场的选手按弃权处理；操作完成后，选手上交所有竞赛相关材料，经裁判长同意后方可离开赛场。</w:t>
      </w:r>
    </w:p>
    <w:p w14:paraId="0BC3CC8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（8）选手务必按时到达指定竞赛场地选手休息室集合， 并接受监督人员和裁判员的检查。</w:t>
      </w:r>
    </w:p>
    <w:p w14:paraId="7738C723">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（9）选手进入赛场选手休息室时，除按大赛技术文件规定携带比赛用品和相关技术资料外，严禁携带通讯工具进入竞赛场地。带入休息室内的个人用品，不能带入赛场工位。</w:t>
      </w:r>
    </w:p>
    <w:p w14:paraId="6A3A2D5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（10）选手进入比赛场地休息室全程接受</w:t>
      </w:r>
      <w:r>
        <w:rPr>
          <w:rFonts w:hint="eastAsia" w:ascii="仿宋_GB2312" w:hAnsi="仿宋_GB2312" w:eastAsia="仿宋_GB2312" w:cs="仿宋_GB2312"/>
          <w:color w:val="auto"/>
          <w:sz w:val="32"/>
          <w:szCs w:val="32"/>
          <w:highlight w:val="none"/>
          <w:lang w:val="en-US" w:eastAsia="zh-CN"/>
        </w:rPr>
        <w:t>监督人员</w:t>
      </w:r>
      <w:r>
        <w:rPr>
          <w:rFonts w:hint="eastAsia" w:ascii="仿宋_GB2312" w:hAnsi="仿宋_GB2312" w:eastAsia="仿宋_GB2312" w:cs="仿宋_GB2312"/>
          <w:color w:val="auto"/>
          <w:sz w:val="32"/>
          <w:szCs w:val="32"/>
          <w:highlight w:val="none"/>
        </w:rPr>
        <w:t>与裁判</w:t>
      </w:r>
      <w:r>
        <w:rPr>
          <w:rFonts w:hint="eastAsia" w:ascii="仿宋_GB2312" w:hAnsi="仿宋_GB2312" w:eastAsia="仿宋_GB2312" w:cs="仿宋_GB2312"/>
          <w:color w:val="auto"/>
          <w:sz w:val="32"/>
          <w:szCs w:val="32"/>
          <w:highlight w:val="none"/>
          <w:lang w:val="en-US" w:eastAsia="zh-CN"/>
        </w:rPr>
        <w:t>员</w:t>
      </w:r>
      <w:r>
        <w:rPr>
          <w:rFonts w:hint="eastAsia" w:ascii="仿宋_GB2312" w:hAnsi="仿宋_GB2312" w:eastAsia="仿宋_GB2312" w:cs="仿宋_GB2312"/>
          <w:color w:val="auto"/>
          <w:sz w:val="32"/>
          <w:szCs w:val="32"/>
          <w:highlight w:val="none"/>
        </w:rPr>
        <w:t>的监督管理；参赛选手在竞赛过程中不得擅自离开竞赛场地或休息室，如遇有特殊情况需经裁判员和</w:t>
      </w:r>
      <w:r>
        <w:rPr>
          <w:rFonts w:hint="eastAsia" w:ascii="仿宋_GB2312" w:hAnsi="仿宋_GB2312" w:eastAsia="仿宋_GB2312" w:cs="仿宋_GB2312"/>
          <w:color w:val="auto"/>
          <w:sz w:val="32"/>
          <w:szCs w:val="32"/>
          <w:highlight w:val="none"/>
          <w:lang w:val="en-US" w:eastAsia="zh-CN"/>
        </w:rPr>
        <w:t>监督人员</w:t>
      </w:r>
      <w:r>
        <w:rPr>
          <w:rFonts w:hint="eastAsia" w:ascii="仿宋_GB2312" w:hAnsi="仿宋_GB2312" w:eastAsia="仿宋_GB2312" w:cs="仿宋_GB2312"/>
          <w:color w:val="auto"/>
          <w:sz w:val="32"/>
          <w:szCs w:val="32"/>
          <w:highlight w:val="none"/>
        </w:rPr>
        <w:t>同意后，由</w:t>
      </w:r>
      <w:r>
        <w:rPr>
          <w:rFonts w:hint="eastAsia" w:ascii="仿宋_GB2312" w:hAnsi="仿宋_GB2312" w:eastAsia="仿宋_GB2312" w:cs="仿宋_GB2312"/>
          <w:color w:val="auto"/>
          <w:sz w:val="32"/>
          <w:szCs w:val="32"/>
          <w:highlight w:val="none"/>
          <w:lang w:val="en-US" w:eastAsia="zh-CN"/>
        </w:rPr>
        <w:t>监督人员</w:t>
      </w:r>
      <w:r>
        <w:rPr>
          <w:rFonts w:hint="eastAsia" w:ascii="仿宋_GB2312" w:hAnsi="仿宋_GB2312" w:eastAsia="仿宋_GB2312" w:cs="仿宋_GB2312"/>
          <w:color w:val="auto"/>
          <w:sz w:val="32"/>
          <w:szCs w:val="32"/>
          <w:highlight w:val="none"/>
        </w:rPr>
        <w:t>陪伴离开竞赛场地。</w:t>
      </w:r>
    </w:p>
    <w:p w14:paraId="7F9E895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竞赛过程中，选手须严格遵守安全操作规程，并接受裁判员的监督和警示，以确保参赛的人身及设备安全。选手因个人误操作造成人身安全事故和设备故障时，裁判长有权中止该队竞赛；如非选手个人因素出现设备故障而无法竞赛，由裁判长视具体情况做出裁决</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调换到备份工位或调整至最后一场次参加竞赛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；如裁判长确定设备故障可由技术支持人员排除故障后继续竞赛，将给参赛队补足所耽误的竞赛时间。</w:t>
      </w:r>
    </w:p>
    <w:p w14:paraId="2191A93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（12）竞赛过程中因违反安全操作规程造成设备或人身安全事故者，按相关规定追究责任。</w:t>
      </w:r>
    </w:p>
    <w:p w14:paraId="40EEA4D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如果选手在现场出现违规的现象，视情节轻重，由当值裁判</w:t>
      </w:r>
      <w:r>
        <w:rPr>
          <w:rFonts w:hint="eastAsia" w:ascii="仿宋_GB2312" w:hAnsi="仿宋_GB2312" w:eastAsia="仿宋_GB2312" w:cs="仿宋_GB2312"/>
          <w:color w:val="auto"/>
          <w:sz w:val="32"/>
          <w:szCs w:val="32"/>
          <w:highlight w:val="none"/>
          <w:lang w:val="en-US" w:eastAsia="zh-CN"/>
        </w:rPr>
        <w:t>员</w:t>
      </w:r>
      <w:r>
        <w:rPr>
          <w:rFonts w:hint="eastAsia" w:ascii="仿宋_GB2312" w:hAnsi="仿宋_GB2312" w:eastAsia="仿宋_GB2312" w:cs="仿宋_GB2312"/>
          <w:color w:val="auto"/>
          <w:sz w:val="32"/>
          <w:szCs w:val="32"/>
          <w:highlight w:val="none"/>
        </w:rPr>
        <w:t>会同裁判组长及裁判长共同商定后分别给予（1）模块成绩为零分（2）取消比赛资格的处理；如果是本队裁判</w:t>
      </w:r>
      <w:r>
        <w:rPr>
          <w:rFonts w:hint="eastAsia" w:ascii="仿宋_GB2312" w:hAnsi="仿宋_GB2312" w:eastAsia="仿宋_GB2312" w:cs="仿宋_GB2312"/>
          <w:color w:val="auto"/>
          <w:sz w:val="32"/>
          <w:szCs w:val="32"/>
          <w:highlight w:val="none"/>
          <w:lang w:val="en-US" w:eastAsia="zh-CN"/>
        </w:rPr>
        <w:t>员</w:t>
      </w:r>
      <w:r>
        <w:rPr>
          <w:rFonts w:hint="eastAsia" w:ascii="仿宋_GB2312" w:hAnsi="仿宋_GB2312" w:eastAsia="仿宋_GB2312" w:cs="仿宋_GB2312"/>
          <w:color w:val="auto"/>
          <w:sz w:val="32"/>
          <w:szCs w:val="32"/>
          <w:highlight w:val="none"/>
        </w:rPr>
        <w:t>、领队及教练出现违规的现象，由当值裁判</w:t>
      </w:r>
      <w:r>
        <w:rPr>
          <w:rFonts w:hint="eastAsia" w:ascii="仿宋_GB2312" w:hAnsi="仿宋_GB2312" w:eastAsia="仿宋_GB2312" w:cs="仿宋_GB2312"/>
          <w:color w:val="auto"/>
          <w:sz w:val="32"/>
          <w:szCs w:val="32"/>
          <w:highlight w:val="none"/>
          <w:lang w:val="en-US" w:eastAsia="zh-CN"/>
        </w:rPr>
        <w:t>员</w:t>
      </w:r>
      <w:r>
        <w:rPr>
          <w:rFonts w:hint="eastAsia" w:ascii="仿宋_GB2312" w:hAnsi="仿宋_GB2312" w:eastAsia="仿宋_GB2312" w:cs="仿宋_GB2312"/>
          <w:color w:val="auto"/>
          <w:sz w:val="32"/>
          <w:szCs w:val="32"/>
          <w:highlight w:val="none"/>
        </w:rPr>
        <w:t>会同裁判组长及裁判长共同商定并报大赛组委会批准后取消该队的比赛成绩及比赛资格，并报组委会予以相应的纪律处分；如出现其它违规或争议等现象，参考《</w:t>
      </w:r>
      <w:r>
        <w:rPr>
          <w:rFonts w:hint="eastAsia" w:ascii="仿宋_GB2312" w:hAnsi="仿宋_GB2312" w:eastAsia="仿宋_GB2312" w:cs="仿宋_GB2312"/>
          <w:color w:val="auto"/>
          <w:sz w:val="32"/>
          <w:szCs w:val="32"/>
          <w:highlight w:val="none"/>
          <w:lang w:eastAsia="zh-CN"/>
        </w:rPr>
        <w:t>第二届</w:t>
      </w:r>
      <w:r>
        <w:rPr>
          <w:rFonts w:hint="eastAsia" w:ascii="仿宋_GB2312" w:hAnsi="仿宋_GB2312" w:eastAsia="仿宋_GB2312" w:cs="仿宋_GB2312"/>
          <w:color w:val="auto"/>
          <w:sz w:val="32"/>
          <w:szCs w:val="32"/>
          <w:highlight w:val="none"/>
        </w:rPr>
        <w:t xml:space="preserve">全省技能大赛违规行为处理登记表》，由裁判长会同全体裁判共同商定后处理。 </w:t>
      </w:r>
      <w:r>
        <w:rPr>
          <w:rFonts w:hint="eastAsia" w:ascii="仿宋" w:hAnsi="仿宋" w:eastAsia="仿宋" w:cs="仿宋"/>
          <w:color w:val="auto"/>
          <w:sz w:val="32"/>
          <w:szCs w:val="32"/>
          <w:highlight w:val="none"/>
        </w:rPr>
        <w:t xml:space="preserve"> </w:t>
      </w:r>
    </w:p>
    <w:p w14:paraId="6171092A">
      <w:pPr>
        <w:pStyle w:val="4"/>
        <w:pageBreakBefore w:val="0"/>
        <w:widowControl w:val="0"/>
        <w:kinsoku/>
        <w:wordWrap/>
        <w:overflowPunct/>
        <w:topLinePunct w:val="0"/>
        <w:autoSpaceDE/>
        <w:autoSpaceDN/>
        <w:bidi w:val="0"/>
        <w:adjustRightInd w:val="0"/>
        <w:snapToGrid w:val="0"/>
        <w:spacing w:beforeAutospacing="0" w:afterAutospacing="0" w:line="600" w:lineRule="exact"/>
        <w:ind w:left="640"/>
        <w:textAlignment w:val="auto"/>
        <w:rPr>
          <w:rFonts w:hint="eastAsia" w:ascii="仿宋" w:hAnsi="仿宋" w:eastAsia="仿宋" w:cs="仿宋"/>
          <w:color w:val="auto"/>
          <w:sz w:val="32"/>
          <w:szCs w:val="32"/>
          <w:highlight w:val="none"/>
        </w:rPr>
      </w:pPr>
      <w:bookmarkStart w:id="21" w:name="_Toc1328"/>
      <w:r>
        <w:rPr>
          <w:rFonts w:hint="eastAsia" w:ascii="黑体" w:hAnsi="黑体" w:eastAsia="黑体" w:cs="黑体"/>
          <w:b w:val="0"/>
          <w:bCs/>
          <w:color w:val="auto"/>
          <w:sz w:val="32"/>
          <w:szCs w:val="32"/>
          <w:highlight w:val="none"/>
        </w:rPr>
        <w:t>四、竞赛场地、设施设备等安排</w:t>
      </w:r>
      <w:bookmarkEnd w:id="21"/>
    </w:p>
    <w:p w14:paraId="41550BAB">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22" w:name="_Toc20436"/>
      <w:r>
        <w:rPr>
          <w:rFonts w:hint="eastAsia" w:ascii="楷体" w:hAnsi="楷体" w:eastAsia="楷体" w:cs="楷体"/>
          <w:b/>
          <w:bCs/>
          <w:color w:val="auto"/>
          <w:kern w:val="2"/>
          <w:sz w:val="32"/>
          <w:szCs w:val="32"/>
          <w:highlight w:val="none"/>
          <w:lang w:val="en-US" w:eastAsia="zh-CN" w:bidi="ar-SA"/>
        </w:rPr>
        <w:t>（一）赛场规格要求</w:t>
      </w:r>
      <w:bookmarkEnd w:id="22"/>
    </w:p>
    <w:p w14:paraId="3E9EC1F0">
      <w:pPr>
        <w:keepNext w:val="0"/>
        <w:keepLines w:val="0"/>
        <w:pageBreakBefore w:val="0"/>
        <w:widowControl w:val="0"/>
        <w:kinsoku/>
        <w:wordWrap/>
        <w:overflowPunct/>
        <w:topLinePunct w:val="0"/>
        <w:autoSpaceDE/>
        <w:autoSpaceDN/>
        <w:bidi w:val="0"/>
        <w:adjustRightInd w:val="0"/>
        <w:snapToGrid w:val="0"/>
        <w:spacing w:line="600" w:lineRule="exact"/>
        <w:ind w:left="0" w:firstLine="642"/>
        <w:textAlignment w:val="auto"/>
        <w:rPr>
          <w:rFonts w:hint="eastAsia" w:ascii="仿宋_GB2312" w:hAnsi="仿宋_GB2312" w:eastAsia="仿宋_GB2312" w:cs="仿宋_GB2312"/>
          <w:color w:val="auto"/>
          <w:spacing w:val="13"/>
          <w:sz w:val="32"/>
          <w:szCs w:val="32"/>
          <w:highlight w:val="none"/>
        </w:rPr>
      </w:pPr>
      <w:r>
        <w:rPr>
          <w:rFonts w:hint="eastAsia" w:ascii="仿宋_GB2312" w:hAnsi="仿宋_GB2312" w:eastAsia="仿宋_GB2312" w:cs="仿宋_GB2312"/>
          <w:color w:val="auto"/>
          <w:spacing w:val="13"/>
          <w:sz w:val="32"/>
          <w:szCs w:val="32"/>
          <w:highlight w:val="none"/>
        </w:rPr>
        <w:t>化学实验室技术项目竞赛场地总面积2350m</w:t>
      </w:r>
      <w:r>
        <w:rPr>
          <w:rFonts w:hint="eastAsia" w:ascii="仿宋_GB2312" w:hAnsi="仿宋_GB2312" w:eastAsia="仿宋_GB2312" w:cs="仿宋_GB2312"/>
          <w:color w:val="auto"/>
          <w:spacing w:val="13"/>
          <w:sz w:val="32"/>
          <w:szCs w:val="32"/>
          <w:highlight w:val="none"/>
          <w:vertAlign w:val="superscript"/>
        </w:rPr>
        <w:t>2</w:t>
      </w:r>
      <w:r>
        <w:rPr>
          <w:rFonts w:hint="eastAsia" w:ascii="仿宋_GB2312" w:hAnsi="仿宋_GB2312" w:eastAsia="仿宋_GB2312" w:cs="仿宋_GB2312"/>
          <w:color w:val="auto"/>
          <w:spacing w:val="13"/>
          <w:sz w:val="32"/>
          <w:szCs w:val="32"/>
          <w:highlight w:val="none"/>
        </w:rPr>
        <w:t>，其中总长67.5m，总宽度63m。竞赛场地设置理化实验区、光度测量区、文档编辑区、样品称量区等操作区和竞赛准备室、玻璃仪器仓库、药品仓库、裁判会议室、选手休息室等非操作区。</w:t>
      </w:r>
    </w:p>
    <w:p w14:paraId="7CD8767B">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理化实验区、光度测量区、样品称量区和文档编辑区分别有16个工位，配有电路系统、给排水系统、通风系统和紧急喷淋系统。理化实验区、光度测量区和文档编辑区</w:t>
      </w:r>
      <w:r>
        <w:rPr>
          <w:rFonts w:hint="eastAsia" w:ascii="仿宋_GB2312" w:hAnsi="仿宋_GB2312" w:eastAsia="仿宋_GB2312" w:cs="仿宋_GB2312"/>
          <w:color w:val="auto"/>
          <w:spacing w:val="1"/>
          <w:sz w:val="32"/>
          <w:szCs w:val="32"/>
          <w:highlight w:val="none"/>
        </w:rPr>
        <w:t>每个工位为 1.92</w:t>
      </w:r>
      <w:r>
        <w:rPr>
          <w:rFonts w:hint="eastAsia" w:ascii="仿宋_GB2312" w:hAnsi="仿宋_GB2312" w:eastAsia="仿宋_GB2312" w:cs="仿宋_GB2312"/>
          <w:color w:val="auto"/>
          <w:sz w:val="32"/>
          <w:szCs w:val="32"/>
          <w:highlight w:val="none"/>
        </w:rPr>
        <w:t>m</w:t>
      </w:r>
      <w:r>
        <w:rPr>
          <w:rFonts w:hint="eastAsia" w:ascii="仿宋_GB2312" w:hAnsi="仿宋_GB2312" w:eastAsia="仿宋_GB2312" w:cs="仿宋_GB2312"/>
          <w:color w:val="auto"/>
          <w:sz w:val="32"/>
          <w:szCs w:val="32"/>
          <w:highlight w:val="none"/>
          <w:vertAlign w:val="superscript"/>
        </w:rPr>
        <w:t>2</w:t>
      </w:r>
      <w:r>
        <w:rPr>
          <w:rFonts w:hint="eastAsia" w:ascii="仿宋_GB2312" w:hAnsi="仿宋_GB2312" w:eastAsia="仿宋_GB2312" w:cs="仿宋_GB2312"/>
          <w:color w:val="auto"/>
          <w:spacing w:val="1"/>
          <w:sz w:val="32"/>
          <w:szCs w:val="32"/>
          <w:highlight w:val="none"/>
        </w:rPr>
        <w:t>，每个工位</w:t>
      </w:r>
      <w:r>
        <w:rPr>
          <w:rFonts w:hint="eastAsia" w:ascii="仿宋_GB2312" w:hAnsi="仿宋_GB2312" w:eastAsia="仿宋_GB2312" w:cs="仿宋_GB2312"/>
          <w:color w:val="auto"/>
          <w:spacing w:val="7"/>
          <w:sz w:val="32"/>
          <w:szCs w:val="32"/>
          <w:highlight w:val="none"/>
        </w:rPr>
        <w:t>长2.4</w:t>
      </w:r>
      <w:r>
        <w:rPr>
          <w:rFonts w:hint="eastAsia" w:ascii="仿宋_GB2312" w:hAnsi="仿宋_GB2312" w:eastAsia="仿宋_GB2312" w:cs="仿宋_GB2312"/>
          <w:color w:val="auto"/>
          <w:sz w:val="32"/>
          <w:szCs w:val="32"/>
          <w:highlight w:val="none"/>
        </w:rPr>
        <w:t>m</w:t>
      </w:r>
      <w:r>
        <w:rPr>
          <w:rFonts w:hint="eastAsia" w:ascii="仿宋_GB2312" w:hAnsi="仿宋_GB2312" w:eastAsia="仿宋_GB2312" w:cs="仿宋_GB2312"/>
          <w:color w:val="auto"/>
          <w:spacing w:val="7"/>
          <w:sz w:val="32"/>
          <w:szCs w:val="32"/>
          <w:highlight w:val="none"/>
        </w:rPr>
        <w:t>，宽0.8</w:t>
      </w:r>
      <w:r>
        <w:rPr>
          <w:rFonts w:hint="eastAsia" w:ascii="仿宋_GB2312" w:hAnsi="仿宋_GB2312" w:eastAsia="仿宋_GB2312" w:cs="仿宋_GB2312"/>
          <w:color w:val="auto"/>
          <w:sz w:val="32"/>
          <w:szCs w:val="32"/>
          <w:highlight w:val="none"/>
        </w:rPr>
        <w:t>m。</w:t>
      </w:r>
      <w:r>
        <w:rPr>
          <w:rFonts w:hint="eastAsia" w:ascii="仿宋_GB2312" w:hAnsi="仿宋_GB2312" w:eastAsia="仿宋_GB2312" w:cs="仿宋_GB2312"/>
          <w:color w:val="auto"/>
          <w:kern w:val="0"/>
          <w:sz w:val="32"/>
          <w:szCs w:val="32"/>
          <w:highlight w:val="none"/>
          <w:lang w:bidi="ar"/>
        </w:rPr>
        <w:t>理化实验区</w:t>
      </w:r>
      <w:r>
        <w:rPr>
          <w:rFonts w:hint="eastAsia" w:ascii="仿宋_GB2312" w:hAnsi="仿宋_GB2312" w:eastAsia="仿宋_GB2312" w:cs="仿宋_GB2312"/>
          <w:color w:val="auto"/>
          <w:spacing w:val="7"/>
          <w:sz w:val="32"/>
          <w:szCs w:val="32"/>
          <w:highlight w:val="none"/>
        </w:rPr>
        <w:t>每个工位有独立的实验装置、设</w:t>
      </w:r>
      <w:r>
        <w:rPr>
          <w:rFonts w:hint="eastAsia" w:ascii="仿宋_GB2312" w:hAnsi="仿宋_GB2312" w:eastAsia="仿宋_GB2312" w:cs="仿宋_GB2312"/>
          <w:color w:val="auto"/>
          <w:spacing w:val="16"/>
          <w:sz w:val="32"/>
          <w:szCs w:val="32"/>
          <w:highlight w:val="none"/>
        </w:rPr>
        <w:t>备</w:t>
      </w:r>
      <w:r>
        <w:rPr>
          <w:rFonts w:hint="eastAsia" w:ascii="仿宋_GB2312" w:hAnsi="仿宋_GB2312" w:eastAsia="仿宋_GB2312" w:cs="仿宋_GB2312"/>
          <w:color w:val="auto"/>
          <w:kern w:val="0"/>
          <w:sz w:val="32"/>
          <w:szCs w:val="32"/>
          <w:highlight w:val="none"/>
          <w:lang w:bidi="ar"/>
        </w:rPr>
        <w:t>及试剂，有独立的水、电、通风设备。</w:t>
      </w:r>
      <w:r>
        <w:rPr>
          <w:rFonts w:hint="eastAsia" w:ascii="仿宋_GB2312" w:hAnsi="仿宋_GB2312" w:eastAsia="仿宋_GB2312" w:cs="仿宋_GB2312"/>
          <w:color w:val="auto"/>
          <w:kern w:val="0"/>
          <w:sz w:val="32"/>
          <w:szCs w:val="32"/>
          <w:highlight w:val="none"/>
          <w:lang w:val="en-US" w:eastAsia="zh-CN" w:bidi="ar"/>
        </w:rPr>
        <w:t>光</w:t>
      </w:r>
      <w:r>
        <w:rPr>
          <w:rFonts w:hint="eastAsia" w:ascii="仿宋_GB2312" w:hAnsi="仿宋_GB2312" w:eastAsia="仿宋_GB2312" w:cs="仿宋_GB2312"/>
          <w:color w:val="auto"/>
          <w:kern w:val="0"/>
          <w:sz w:val="32"/>
          <w:szCs w:val="32"/>
          <w:highlight w:val="none"/>
          <w:lang w:bidi="ar"/>
        </w:rPr>
        <w:t>度测量区和文档编辑每个工位有独立的实验装置、设备及试剂，有独立的电、通风设备。样品称量区每个工位为0.54 m</w:t>
      </w:r>
      <w:r>
        <w:rPr>
          <w:rFonts w:hint="eastAsia" w:ascii="仿宋_GB2312" w:hAnsi="仿宋_GB2312" w:eastAsia="仿宋_GB2312" w:cs="仿宋_GB2312"/>
          <w:color w:val="auto"/>
          <w:kern w:val="0"/>
          <w:sz w:val="32"/>
          <w:szCs w:val="32"/>
          <w:highlight w:val="none"/>
          <w:vertAlign w:val="superscript"/>
          <w:lang w:bidi="ar"/>
        </w:rPr>
        <w:t>2</w:t>
      </w:r>
      <w:r>
        <w:rPr>
          <w:rFonts w:hint="eastAsia" w:ascii="仿宋_GB2312" w:hAnsi="仿宋_GB2312" w:eastAsia="仿宋_GB2312" w:cs="仿宋_GB2312"/>
          <w:color w:val="auto"/>
          <w:kern w:val="0"/>
          <w:sz w:val="32"/>
          <w:szCs w:val="32"/>
          <w:highlight w:val="none"/>
          <w:vertAlign w:val="baseline"/>
          <w:lang w:eastAsia="zh-CN" w:bidi="ar"/>
        </w:rPr>
        <w:t>，</w:t>
      </w:r>
      <w:r>
        <w:rPr>
          <w:rFonts w:hint="eastAsia" w:ascii="仿宋_GB2312" w:hAnsi="仿宋_GB2312" w:eastAsia="仿宋_GB2312" w:cs="仿宋_GB2312"/>
          <w:color w:val="auto"/>
          <w:kern w:val="0"/>
          <w:sz w:val="32"/>
          <w:szCs w:val="32"/>
          <w:highlight w:val="none"/>
          <w:lang w:bidi="ar"/>
        </w:rPr>
        <w:t xml:space="preserve"> </w:t>
      </w:r>
      <w:r>
        <w:rPr>
          <w:rFonts w:hint="eastAsia" w:ascii="仿宋_GB2312" w:hAnsi="仿宋_GB2312" w:eastAsia="仿宋_GB2312" w:cs="仿宋_GB2312"/>
          <w:color w:val="auto"/>
          <w:spacing w:val="1"/>
          <w:sz w:val="32"/>
          <w:szCs w:val="32"/>
          <w:highlight w:val="none"/>
        </w:rPr>
        <w:t>每个工位</w:t>
      </w:r>
      <w:r>
        <w:rPr>
          <w:rFonts w:hint="eastAsia" w:ascii="仿宋_GB2312" w:hAnsi="仿宋_GB2312" w:eastAsia="仿宋_GB2312" w:cs="仿宋_GB2312"/>
          <w:color w:val="auto"/>
          <w:spacing w:val="7"/>
          <w:sz w:val="32"/>
          <w:szCs w:val="32"/>
          <w:highlight w:val="none"/>
        </w:rPr>
        <w:t>长</w:t>
      </w:r>
      <w:r>
        <w:rPr>
          <w:rFonts w:hint="eastAsia" w:ascii="仿宋_GB2312" w:hAnsi="仿宋_GB2312" w:eastAsia="仿宋_GB2312" w:cs="仿宋_GB2312"/>
          <w:color w:val="auto"/>
          <w:spacing w:val="7"/>
          <w:sz w:val="32"/>
          <w:szCs w:val="32"/>
          <w:highlight w:val="none"/>
          <w:lang w:val="en-US" w:eastAsia="zh-CN"/>
        </w:rPr>
        <w:t>0.9</w:t>
      </w:r>
      <w:r>
        <w:rPr>
          <w:rFonts w:hint="eastAsia" w:ascii="仿宋_GB2312" w:hAnsi="仿宋_GB2312" w:eastAsia="仿宋_GB2312" w:cs="仿宋_GB2312"/>
          <w:color w:val="auto"/>
          <w:sz w:val="32"/>
          <w:szCs w:val="32"/>
          <w:highlight w:val="none"/>
        </w:rPr>
        <w:t>m</w:t>
      </w:r>
      <w:r>
        <w:rPr>
          <w:rFonts w:hint="eastAsia" w:ascii="仿宋_GB2312" w:hAnsi="仿宋_GB2312" w:eastAsia="仿宋_GB2312" w:cs="仿宋_GB2312"/>
          <w:color w:val="auto"/>
          <w:spacing w:val="7"/>
          <w:sz w:val="32"/>
          <w:szCs w:val="32"/>
          <w:highlight w:val="none"/>
        </w:rPr>
        <w:t>，</w:t>
      </w:r>
      <w:r>
        <w:rPr>
          <w:rFonts w:hint="eastAsia" w:ascii="仿宋_GB2312" w:hAnsi="仿宋_GB2312" w:eastAsia="仿宋_GB2312" w:cs="仿宋_GB2312"/>
          <w:color w:val="auto"/>
          <w:kern w:val="0"/>
          <w:sz w:val="32"/>
          <w:szCs w:val="32"/>
          <w:highlight w:val="none"/>
          <w:lang w:bidi="ar"/>
        </w:rPr>
        <w:t>宽0.6m</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每个工位有独立的实验装置、设备及试剂，有独立的电设备。</w:t>
      </w:r>
    </w:p>
    <w:p w14:paraId="3E5710DB">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jc w:val="left"/>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竞赛期间水工、电工不得离开，以确保实验过程的正常进行。赛场中观摩区和竞赛区有明确的分隔界线。</w:t>
      </w:r>
    </w:p>
    <w:p w14:paraId="65DD9904">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23" w:name="_Toc27838"/>
      <w:r>
        <w:rPr>
          <w:rFonts w:hint="eastAsia" w:ascii="楷体" w:hAnsi="楷体" w:eastAsia="楷体" w:cs="楷体"/>
          <w:b/>
          <w:bCs/>
          <w:color w:val="auto"/>
          <w:kern w:val="2"/>
          <w:sz w:val="32"/>
          <w:szCs w:val="32"/>
          <w:highlight w:val="none"/>
          <w:lang w:val="en-US" w:eastAsia="zh-CN" w:bidi="ar-SA"/>
        </w:rPr>
        <w:t>（二）场地布局图</w:t>
      </w:r>
      <w:bookmarkEnd w:id="23"/>
    </w:p>
    <w:p w14:paraId="4017DCAB">
      <w:pPr>
        <w:pageBreakBefore w:val="0"/>
        <w:widowControl w:val="0"/>
        <w:kinsoku/>
        <w:wordWrap/>
        <w:overflowPunct/>
        <w:topLinePunct w:val="0"/>
        <w:autoSpaceDE/>
        <w:autoSpaceDN/>
        <w:bidi w:val="0"/>
        <w:adjustRightInd w:val="0"/>
        <w:snapToGrid w:val="0"/>
        <w:spacing w:line="600" w:lineRule="exact"/>
        <w:ind w:left="677"/>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5"/>
          <w:sz w:val="32"/>
          <w:szCs w:val="32"/>
          <w:highlight w:val="none"/>
        </w:rPr>
        <w:t>化</w:t>
      </w:r>
      <w:r>
        <w:rPr>
          <w:rFonts w:hint="eastAsia" w:ascii="仿宋" w:hAnsi="仿宋" w:eastAsia="仿宋" w:cs="仿宋"/>
          <w:color w:val="auto"/>
          <w:spacing w:val="8"/>
          <w:sz w:val="32"/>
          <w:szCs w:val="32"/>
          <w:highlight w:val="none"/>
        </w:rPr>
        <w:t>学实验室技术项目竞赛场地布局示意图如下：</w:t>
      </w:r>
    </w:p>
    <w:p w14:paraId="63C9DBFE">
      <w:pPr>
        <w:pStyle w:val="2"/>
        <w:spacing w:line="240" w:lineRule="auto"/>
        <w:ind w:firstLine="0" w:firstLineChars="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drawing>
          <wp:inline distT="0" distB="0" distL="114300" distR="114300">
            <wp:extent cx="5386070" cy="5403850"/>
            <wp:effectExtent l="0" t="0" r="8890" b="6350"/>
            <wp:docPr id="10" name="图片 10" descr="微信图片_202304291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429121307"/>
                    <pic:cNvPicPr>
                      <a:picLocks noChangeAspect="1"/>
                    </pic:cNvPicPr>
                  </pic:nvPicPr>
                  <pic:blipFill>
                    <a:blip r:embed="rId9"/>
                    <a:stretch>
                      <a:fillRect/>
                    </a:stretch>
                  </pic:blipFill>
                  <pic:spPr>
                    <a:xfrm>
                      <a:off x="0" y="0"/>
                      <a:ext cx="5386070" cy="5403850"/>
                    </a:xfrm>
                    <a:prstGeom prst="rect">
                      <a:avLst/>
                    </a:prstGeom>
                  </pic:spPr>
                </pic:pic>
              </a:graphicData>
            </a:graphic>
          </wp:inline>
        </w:drawing>
      </w:r>
    </w:p>
    <w:p w14:paraId="75007043">
      <w:pPr>
        <w:pStyle w:val="2"/>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 w:hAnsi="仿宋" w:eastAsia="仿宋" w:cs="仿宋"/>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图1 </w:t>
      </w:r>
      <w:r>
        <w:rPr>
          <w:rFonts w:hint="eastAsia" w:ascii="仿宋_GB2312" w:hAnsi="仿宋_GB2312" w:eastAsia="仿宋_GB2312" w:cs="仿宋_GB2312"/>
          <w:color w:val="auto"/>
          <w:spacing w:val="15"/>
          <w:sz w:val="32"/>
          <w:szCs w:val="32"/>
          <w:highlight w:val="none"/>
        </w:rPr>
        <w:t>化</w:t>
      </w:r>
      <w:r>
        <w:rPr>
          <w:rFonts w:hint="eastAsia" w:ascii="仿宋_GB2312" w:hAnsi="仿宋_GB2312" w:eastAsia="仿宋_GB2312" w:cs="仿宋_GB2312"/>
          <w:color w:val="auto"/>
          <w:spacing w:val="8"/>
          <w:sz w:val="32"/>
          <w:szCs w:val="32"/>
          <w:highlight w:val="none"/>
        </w:rPr>
        <w:t>学实验室技术项目竞赛场地布局示意图</w:t>
      </w:r>
    </w:p>
    <w:p w14:paraId="05B61C30">
      <w:pPr>
        <w:pStyle w:val="5"/>
        <w:adjustRightInd w:val="0"/>
        <w:snapToGrid w:val="0"/>
        <w:spacing w:before="0" w:after="0" w:line="360" w:lineRule="auto"/>
        <w:ind w:left="640"/>
        <w:rPr>
          <w:rFonts w:hint="eastAsia" w:ascii="仿宋" w:hAnsi="仿宋" w:eastAsia="仿宋" w:cs="仿宋"/>
          <w:color w:val="auto"/>
          <w:sz w:val="32"/>
          <w:szCs w:val="32"/>
          <w:highlight w:val="none"/>
        </w:rPr>
      </w:pPr>
      <w:bookmarkStart w:id="24" w:name="_Toc7211"/>
      <w:r>
        <w:rPr>
          <w:rFonts w:hint="eastAsia" w:ascii="楷体" w:hAnsi="楷体" w:eastAsia="楷体" w:cs="楷体"/>
          <w:b/>
          <w:bCs/>
          <w:color w:val="auto"/>
          <w:kern w:val="2"/>
          <w:sz w:val="32"/>
          <w:szCs w:val="32"/>
          <w:highlight w:val="none"/>
          <w:lang w:val="en-US" w:eastAsia="zh-CN" w:bidi="ar-SA"/>
        </w:rPr>
        <w:t>（三）基础设施清单</w:t>
      </w:r>
      <w:bookmarkEnd w:id="24"/>
    </w:p>
    <w:p w14:paraId="6232BB4E">
      <w:pPr>
        <w:pStyle w:val="2"/>
        <w:ind w:left="0" w:leftChars="0" w:firstLine="0" w:firstLineChars="0"/>
        <w:jc w:val="center"/>
        <w:rPr>
          <w:rFonts w:hint="eastAsia" w:ascii="仿宋" w:hAnsi="仿宋" w:eastAsia="仿宋" w:cs="仿宋"/>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 xml:space="preserve">表7 </w:t>
      </w:r>
      <w:r>
        <w:rPr>
          <w:rFonts w:hint="eastAsia" w:ascii="仿宋_GB2312" w:hAnsi="仿宋_GB2312" w:eastAsia="仿宋_GB2312" w:cs="仿宋_GB2312"/>
          <w:color w:val="auto"/>
          <w:sz w:val="32"/>
          <w:szCs w:val="32"/>
          <w:highlight w:val="none"/>
        </w:rPr>
        <w:t>化学实验室技术项目赛场提供设施、设备清单表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390"/>
        <w:gridCol w:w="1878"/>
        <w:gridCol w:w="2804"/>
      </w:tblGrid>
      <w:tr w14:paraId="32B5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tcPr>
          <w:p w14:paraId="1CFC5764">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序号</w:t>
            </w:r>
          </w:p>
        </w:tc>
        <w:tc>
          <w:tcPr>
            <w:tcW w:w="1870" w:type="pct"/>
            <w:shd w:val="clear" w:color="auto" w:fill="auto"/>
          </w:tcPr>
          <w:p w14:paraId="7E5625A1">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名称</w:t>
            </w:r>
          </w:p>
        </w:tc>
        <w:tc>
          <w:tcPr>
            <w:tcW w:w="1036" w:type="pct"/>
            <w:shd w:val="clear" w:color="auto" w:fill="auto"/>
          </w:tcPr>
          <w:p w14:paraId="63DB27A7">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数量</w:t>
            </w:r>
          </w:p>
        </w:tc>
        <w:tc>
          <w:tcPr>
            <w:tcW w:w="1547" w:type="pct"/>
            <w:shd w:val="clear" w:color="auto" w:fill="auto"/>
          </w:tcPr>
          <w:p w14:paraId="3B5FF655">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技术规格</w:t>
            </w:r>
          </w:p>
        </w:tc>
      </w:tr>
      <w:tr w14:paraId="0419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tcPr>
          <w:p w14:paraId="11F8A1E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1870" w:type="pct"/>
            <w:shd w:val="clear" w:color="auto" w:fill="auto"/>
          </w:tcPr>
          <w:p w14:paraId="2D89AA86">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分析天平</w:t>
            </w:r>
          </w:p>
        </w:tc>
        <w:tc>
          <w:tcPr>
            <w:tcW w:w="1036" w:type="pct"/>
            <w:shd w:val="clear" w:color="auto" w:fill="auto"/>
          </w:tcPr>
          <w:p w14:paraId="287900A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1台/选手</w:t>
            </w:r>
          </w:p>
        </w:tc>
        <w:tc>
          <w:tcPr>
            <w:tcW w:w="1547" w:type="pct"/>
            <w:shd w:val="clear" w:color="auto" w:fill="auto"/>
          </w:tcPr>
          <w:p w14:paraId="1C54EC0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0.1mg</w:t>
            </w:r>
          </w:p>
        </w:tc>
      </w:tr>
      <w:tr w14:paraId="497D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1D4F09C">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p>
        </w:tc>
        <w:tc>
          <w:tcPr>
            <w:tcW w:w="1870" w:type="pct"/>
            <w:shd w:val="clear" w:color="auto" w:fill="auto"/>
          </w:tcPr>
          <w:p w14:paraId="6CED06AC">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仿宋_GB2312" w:eastAsia="仿宋_GB2312" w:cs="仿宋_GB2312"/>
                <w:color w:val="auto"/>
                <w:sz w:val="32"/>
                <w:szCs w:val="32"/>
                <w:highlight w:val="none"/>
                <w:lang w:eastAsia="zh"/>
                <w:woUserID w:val="3"/>
              </w:rPr>
            </w:pPr>
            <w:r>
              <w:rPr>
                <w:rFonts w:hint="eastAsia" w:ascii="仿宋_GB2312" w:hAnsi="仿宋_GB2312" w:eastAsia="仿宋_GB2312" w:cs="仿宋_GB2312"/>
                <w:color w:val="auto"/>
                <w:sz w:val="32"/>
                <w:szCs w:val="32"/>
                <w:highlight w:val="none"/>
                <w:lang w:eastAsia="zh"/>
                <w:woUserID w:val="3"/>
              </w:rPr>
              <w:t>电子天平</w:t>
            </w:r>
          </w:p>
        </w:tc>
        <w:tc>
          <w:tcPr>
            <w:tcW w:w="1036" w:type="pct"/>
            <w:shd w:val="clear" w:color="auto" w:fill="auto"/>
          </w:tcPr>
          <w:p w14:paraId="24CD1699">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woUserID w:val="3"/>
              </w:rPr>
              <w:t>1台/选手</w:t>
            </w:r>
          </w:p>
        </w:tc>
        <w:tc>
          <w:tcPr>
            <w:tcW w:w="1547" w:type="pct"/>
            <w:shd w:val="clear" w:color="auto" w:fill="auto"/>
          </w:tcPr>
          <w:p w14:paraId="1FEF0B36">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auto"/>
                <w:sz w:val="32"/>
                <w:szCs w:val="32"/>
                <w:highlight w:val="none"/>
                <w:lang w:eastAsia="zh"/>
                <w:woUserID w:val="3"/>
              </w:rPr>
            </w:pPr>
            <w:r>
              <w:rPr>
                <w:rFonts w:hint="eastAsia" w:ascii="仿宋_GB2312" w:hAnsi="仿宋_GB2312" w:eastAsia="仿宋_GB2312" w:cs="仿宋_GB2312"/>
                <w:color w:val="auto"/>
                <w:sz w:val="32"/>
                <w:szCs w:val="32"/>
                <w:highlight w:val="none"/>
                <w:lang w:eastAsia="zh"/>
                <w:woUserID w:val="3"/>
              </w:rPr>
              <w:t>10</w:t>
            </w:r>
            <w:r>
              <w:rPr>
                <w:rFonts w:hint="eastAsia" w:ascii="仿宋_GB2312" w:hAnsi="仿宋_GB2312" w:eastAsia="仿宋_GB2312" w:cs="仿宋_GB2312"/>
                <w:color w:val="auto"/>
                <w:sz w:val="32"/>
                <w:szCs w:val="32"/>
                <w:highlight w:val="none"/>
                <w:woUserID w:val="3"/>
              </w:rPr>
              <w:t>mg</w:t>
            </w:r>
          </w:p>
        </w:tc>
      </w:tr>
      <w:tr w14:paraId="525E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28C256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3</w:t>
            </w:r>
          </w:p>
        </w:tc>
        <w:tc>
          <w:tcPr>
            <w:tcW w:w="1870" w:type="pct"/>
            <w:shd w:val="clear" w:color="auto" w:fill="auto"/>
          </w:tcPr>
          <w:p w14:paraId="7EDD13BA">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安全电炉</w:t>
            </w:r>
          </w:p>
        </w:tc>
        <w:tc>
          <w:tcPr>
            <w:tcW w:w="1036" w:type="pct"/>
            <w:shd w:val="clear" w:color="auto" w:fill="auto"/>
          </w:tcPr>
          <w:p w14:paraId="389B9D9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1台/选手</w:t>
            </w:r>
          </w:p>
        </w:tc>
        <w:tc>
          <w:tcPr>
            <w:tcW w:w="1547" w:type="pct"/>
            <w:shd w:val="clear" w:color="auto" w:fill="auto"/>
          </w:tcPr>
          <w:p w14:paraId="7285BDD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1000</w:t>
            </w:r>
            <w:r>
              <w:rPr>
                <w:rFonts w:hint="eastAsia" w:ascii="仿宋_GB2312" w:hAnsi="仿宋_GB2312" w:eastAsia="仿宋_GB2312" w:cs="仿宋_GB2312"/>
                <w:color w:val="auto"/>
                <w:sz w:val="32"/>
                <w:szCs w:val="32"/>
                <w:highlight w:val="none"/>
                <w:lang w:val="en-US" w:eastAsia="zh-CN"/>
              </w:rPr>
              <w:t>W</w:t>
            </w:r>
          </w:p>
        </w:tc>
      </w:tr>
      <w:tr w14:paraId="395A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6CE2D6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4</w:t>
            </w:r>
          </w:p>
        </w:tc>
        <w:tc>
          <w:tcPr>
            <w:tcW w:w="1870" w:type="pct"/>
            <w:shd w:val="clear" w:color="auto" w:fill="auto"/>
          </w:tcPr>
          <w:p w14:paraId="6817AE5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紫外-可见分光光度计</w:t>
            </w:r>
          </w:p>
        </w:tc>
        <w:tc>
          <w:tcPr>
            <w:tcW w:w="1036" w:type="pct"/>
            <w:shd w:val="clear" w:color="auto" w:fill="auto"/>
          </w:tcPr>
          <w:p w14:paraId="39F9B16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1台/选手</w:t>
            </w:r>
          </w:p>
        </w:tc>
        <w:tc>
          <w:tcPr>
            <w:tcW w:w="1547" w:type="pct"/>
            <w:shd w:val="clear" w:color="auto" w:fill="auto"/>
          </w:tcPr>
          <w:p w14:paraId="3A0DA07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双光束，TU-1900</w:t>
            </w:r>
          </w:p>
        </w:tc>
      </w:tr>
      <w:tr w14:paraId="59A3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A0A550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5</w:t>
            </w:r>
          </w:p>
        </w:tc>
        <w:tc>
          <w:tcPr>
            <w:tcW w:w="1870" w:type="pct"/>
            <w:shd w:val="clear" w:color="auto" w:fill="auto"/>
          </w:tcPr>
          <w:p w14:paraId="6B0D498B">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净气型万向抽气罩</w:t>
            </w:r>
          </w:p>
        </w:tc>
        <w:tc>
          <w:tcPr>
            <w:tcW w:w="1036" w:type="pct"/>
            <w:shd w:val="clear" w:color="auto" w:fill="auto"/>
          </w:tcPr>
          <w:p w14:paraId="3E4A579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1台/选手</w:t>
            </w:r>
          </w:p>
        </w:tc>
        <w:tc>
          <w:tcPr>
            <w:tcW w:w="1547" w:type="pct"/>
            <w:shd w:val="clear" w:color="auto" w:fill="auto"/>
          </w:tcPr>
          <w:p w14:paraId="2BC3BFF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MH460</w:t>
            </w:r>
          </w:p>
        </w:tc>
      </w:tr>
      <w:tr w14:paraId="2C1C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center"/>
          </w:tcPr>
          <w:p w14:paraId="5881807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6</w:t>
            </w:r>
          </w:p>
        </w:tc>
        <w:tc>
          <w:tcPr>
            <w:tcW w:w="1870" w:type="pct"/>
            <w:shd w:val="clear" w:color="auto" w:fill="auto"/>
            <w:vAlign w:val="center"/>
          </w:tcPr>
          <w:p w14:paraId="74E4653B">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计算机</w:t>
            </w:r>
          </w:p>
        </w:tc>
        <w:tc>
          <w:tcPr>
            <w:tcW w:w="1036" w:type="pct"/>
            <w:shd w:val="clear" w:color="auto" w:fill="auto"/>
            <w:vAlign w:val="center"/>
          </w:tcPr>
          <w:p w14:paraId="5924CC0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1台/选手</w:t>
            </w:r>
          </w:p>
        </w:tc>
        <w:tc>
          <w:tcPr>
            <w:tcW w:w="1547" w:type="pct"/>
            <w:shd w:val="clear" w:color="auto" w:fill="auto"/>
            <w:vAlign w:val="center"/>
          </w:tcPr>
          <w:p w14:paraId="2C2E3200">
            <w:pPr>
              <w:keepNext w:val="0"/>
              <w:keepLines w:val="0"/>
              <w:pageBreakBefore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Windows7操作系统；中文输入法、微软输入法、</w:t>
            </w:r>
            <w:r>
              <w:rPr>
                <w:rFonts w:hint="eastAsia" w:ascii="仿宋_GB2312" w:hAnsi="仿宋_GB2312" w:eastAsia="仿宋_GB2312" w:cs="仿宋_GB2312"/>
                <w:color w:val="auto"/>
                <w:sz w:val="32"/>
                <w:szCs w:val="32"/>
                <w:highlight w:val="none"/>
                <w:lang w:val="en-US" w:eastAsia="zh-CN"/>
              </w:rPr>
              <w:t>搜狗</w:t>
            </w:r>
            <w:r>
              <w:rPr>
                <w:rFonts w:hint="eastAsia" w:ascii="仿宋_GB2312" w:hAnsi="仿宋_GB2312" w:eastAsia="仿宋_GB2312" w:cs="仿宋_GB2312"/>
                <w:color w:val="auto"/>
                <w:sz w:val="32"/>
                <w:szCs w:val="32"/>
                <w:highlight w:val="none"/>
              </w:rPr>
              <w:t>拼音输入法；WPS办公软件。</w:t>
            </w:r>
          </w:p>
        </w:tc>
      </w:tr>
      <w:tr w14:paraId="5637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5" w:type="pct"/>
            <w:shd w:val="clear" w:color="auto" w:fill="auto"/>
            <w:vAlign w:val="center"/>
          </w:tcPr>
          <w:p w14:paraId="170E070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7</w:t>
            </w:r>
          </w:p>
        </w:tc>
        <w:tc>
          <w:tcPr>
            <w:tcW w:w="1870" w:type="pct"/>
            <w:shd w:val="clear" w:color="auto" w:fill="auto"/>
          </w:tcPr>
          <w:p w14:paraId="30815E2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酸度计</w:t>
            </w:r>
          </w:p>
        </w:tc>
        <w:tc>
          <w:tcPr>
            <w:tcW w:w="1036" w:type="pct"/>
            <w:shd w:val="clear" w:color="auto" w:fill="auto"/>
          </w:tcPr>
          <w:p w14:paraId="31732FA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1台/选手</w:t>
            </w:r>
          </w:p>
        </w:tc>
        <w:tc>
          <w:tcPr>
            <w:tcW w:w="1547" w:type="pct"/>
            <w:shd w:val="clear" w:color="auto" w:fill="auto"/>
          </w:tcPr>
          <w:p w14:paraId="32EE3E8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PHSJ-3F</w:t>
            </w:r>
          </w:p>
        </w:tc>
      </w:tr>
      <w:tr w14:paraId="0652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02620F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8</w:t>
            </w:r>
          </w:p>
        </w:tc>
        <w:tc>
          <w:tcPr>
            <w:tcW w:w="1870" w:type="pct"/>
            <w:shd w:val="clear" w:color="auto" w:fill="auto"/>
          </w:tcPr>
          <w:p w14:paraId="00FFBE0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lang w:eastAsia="zh"/>
                <w:woUserID w:val="7"/>
              </w:rPr>
            </w:pPr>
            <w:r>
              <w:rPr>
                <w:rFonts w:hint="eastAsia" w:ascii="仿宋_GB2312" w:hAnsi="仿宋_GB2312" w:eastAsia="仿宋_GB2312" w:cs="仿宋_GB2312"/>
                <w:color w:val="auto"/>
                <w:sz w:val="32"/>
                <w:szCs w:val="32"/>
                <w:highlight w:val="none"/>
                <w:lang w:eastAsia="zh"/>
                <w:woUserID w:val="7"/>
              </w:rPr>
              <w:t>参比电极</w:t>
            </w:r>
          </w:p>
        </w:tc>
        <w:tc>
          <w:tcPr>
            <w:tcW w:w="1036" w:type="pct"/>
            <w:shd w:val="clear" w:color="auto" w:fill="auto"/>
          </w:tcPr>
          <w:p w14:paraId="67C96A0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
                <w:woUserID w:val="7"/>
              </w:rPr>
              <w:t>支</w:t>
            </w:r>
            <w:r>
              <w:rPr>
                <w:rFonts w:hint="eastAsia" w:ascii="仿宋_GB2312" w:hAnsi="仿宋_GB2312" w:eastAsia="仿宋_GB2312" w:cs="仿宋_GB2312"/>
                <w:color w:val="auto"/>
                <w:sz w:val="32"/>
                <w:szCs w:val="32"/>
                <w:highlight w:val="none"/>
              </w:rPr>
              <w:t>/选手</w:t>
            </w:r>
          </w:p>
        </w:tc>
        <w:tc>
          <w:tcPr>
            <w:tcW w:w="1547" w:type="pct"/>
            <w:shd w:val="clear" w:color="auto" w:fill="auto"/>
          </w:tcPr>
          <w:p w14:paraId="15B9305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7B5E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14285F6">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w:t>
            </w:r>
          </w:p>
        </w:tc>
        <w:tc>
          <w:tcPr>
            <w:tcW w:w="1870" w:type="pct"/>
            <w:shd w:val="clear" w:color="auto" w:fill="auto"/>
          </w:tcPr>
          <w:p w14:paraId="56B1D51E">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仿宋_GB2312" w:eastAsia="仿宋_GB2312" w:cs="仿宋_GB2312"/>
                <w:color w:val="auto"/>
                <w:sz w:val="32"/>
                <w:szCs w:val="32"/>
                <w:highlight w:val="none"/>
                <w:lang w:eastAsia="zh"/>
                <w:woUserID w:val="7"/>
              </w:rPr>
            </w:pPr>
            <w:r>
              <w:rPr>
                <w:rFonts w:hint="eastAsia" w:ascii="仿宋_GB2312" w:hAnsi="仿宋_GB2312" w:eastAsia="仿宋_GB2312" w:cs="仿宋_GB2312"/>
                <w:color w:val="auto"/>
                <w:sz w:val="32"/>
                <w:szCs w:val="32"/>
                <w:highlight w:val="none"/>
                <w:lang w:eastAsia="zh"/>
                <w:woUserID w:val="7"/>
              </w:rPr>
              <w:t>银电极</w:t>
            </w:r>
          </w:p>
        </w:tc>
        <w:tc>
          <w:tcPr>
            <w:tcW w:w="1036" w:type="pct"/>
            <w:shd w:val="clear" w:color="auto" w:fill="auto"/>
          </w:tcPr>
          <w:p w14:paraId="504688A4">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woUserID w:val="7"/>
              </w:rPr>
              <w:t>1</w:t>
            </w:r>
            <w:r>
              <w:rPr>
                <w:rFonts w:hint="eastAsia" w:ascii="仿宋_GB2312" w:hAnsi="仿宋_GB2312" w:eastAsia="仿宋_GB2312" w:cs="仿宋_GB2312"/>
                <w:color w:val="auto"/>
                <w:sz w:val="32"/>
                <w:szCs w:val="32"/>
                <w:highlight w:val="none"/>
                <w:lang w:eastAsia="zh"/>
                <w:woUserID w:val="7"/>
              </w:rPr>
              <w:t>支</w:t>
            </w:r>
            <w:r>
              <w:rPr>
                <w:rFonts w:hint="eastAsia" w:ascii="仿宋_GB2312" w:hAnsi="仿宋_GB2312" w:eastAsia="仿宋_GB2312" w:cs="仿宋_GB2312"/>
                <w:color w:val="auto"/>
                <w:sz w:val="32"/>
                <w:szCs w:val="32"/>
                <w:highlight w:val="none"/>
                <w:woUserID w:val="7"/>
              </w:rPr>
              <w:t>/选手</w:t>
            </w:r>
          </w:p>
        </w:tc>
        <w:tc>
          <w:tcPr>
            <w:tcW w:w="1547" w:type="pct"/>
            <w:shd w:val="clear" w:color="auto" w:fill="auto"/>
          </w:tcPr>
          <w:p w14:paraId="664FD31B">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auto"/>
                <w:sz w:val="32"/>
                <w:szCs w:val="32"/>
                <w:highlight w:val="none"/>
              </w:rPr>
            </w:pPr>
          </w:p>
        </w:tc>
      </w:tr>
      <w:tr w14:paraId="7CBA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B7B2BC2">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10</w:t>
            </w:r>
          </w:p>
        </w:tc>
        <w:tc>
          <w:tcPr>
            <w:tcW w:w="1870" w:type="pct"/>
            <w:shd w:val="clear" w:color="auto" w:fill="auto"/>
          </w:tcPr>
          <w:p w14:paraId="632525D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磁力搅拌器</w:t>
            </w:r>
          </w:p>
        </w:tc>
        <w:tc>
          <w:tcPr>
            <w:tcW w:w="1036" w:type="pct"/>
            <w:shd w:val="clear" w:color="auto" w:fill="auto"/>
          </w:tcPr>
          <w:p w14:paraId="6949978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1台/选手</w:t>
            </w:r>
          </w:p>
        </w:tc>
        <w:tc>
          <w:tcPr>
            <w:tcW w:w="1547" w:type="pct"/>
            <w:shd w:val="clear" w:color="auto" w:fill="auto"/>
          </w:tcPr>
          <w:p w14:paraId="2D7E3E7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MYP11-2</w:t>
            </w:r>
          </w:p>
        </w:tc>
      </w:tr>
      <w:tr w14:paraId="4217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A7E4D26">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11</w:t>
            </w:r>
          </w:p>
        </w:tc>
        <w:tc>
          <w:tcPr>
            <w:tcW w:w="1870" w:type="pct"/>
            <w:shd w:val="clear" w:color="auto" w:fill="auto"/>
          </w:tcPr>
          <w:p w14:paraId="4EDF6C3D">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磁力搅拌子</w:t>
            </w:r>
          </w:p>
        </w:tc>
        <w:tc>
          <w:tcPr>
            <w:tcW w:w="1036" w:type="pct"/>
            <w:shd w:val="clear" w:color="auto" w:fill="auto"/>
          </w:tcPr>
          <w:p w14:paraId="6126681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6个/选手</w:t>
            </w:r>
          </w:p>
        </w:tc>
        <w:tc>
          <w:tcPr>
            <w:tcW w:w="1547" w:type="pct"/>
            <w:shd w:val="clear" w:color="auto" w:fill="auto"/>
          </w:tcPr>
          <w:p w14:paraId="2842882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3cm</w:t>
            </w:r>
          </w:p>
        </w:tc>
      </w:tr>
      <w:tr w14:paraId="7F5F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653A6B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p>
        </w:tc>
        <w:tc>
          <w:tcPr>
            <w:tcW w:w="1870" w:type="pct"/>
            <w:shd w:val="clear" w:color="auto" w:fill="auto"/>
          </w:tcPr>
          <w:p w14:paraId="2F4DA9D4">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lang w:eastAsia="zh"/>
                <w:woUserID w:val="3"/>
              </w:rPr>
            </w:pPr>
            <w:r>
              <w:rPr>
                <w:rFonts w:hint="eastAsia" w:ascii="仿宋_GB2312" w:hAnsi="仿宋_GB2312" w:eastAsia="仿宋_GB2312" w:cs="仿宋_GB2312"/>
                <w:color w:val="auto"/>
                <w:sz w:val="32"/>
                <w:szCs w:val="32"/>
                <w:highlight w:val="none"/>
                <w:lang w:eastAsia="zh"/>
                <w:woUserID w:val="3"/>
              </w:rPr>
              <w:t>锥形瓶</w:t>
            </w:r>
          </w:p>
        </w:tc>
        <w:tc>
          <w:tcPr>
            <w:tcW w:w="1036" w:type="pct"/>
            <w:shd w:val="clear" w:color="auto" w:fill="auto"/>
          </w:tcPr>
          <w:p w14:paraId="4D1AF32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3"/>
              </w:rPr>
              <w:t>7</w:t>
            </w:r>
            <w:r>
              <w:rPr>
                <w:rFonts w:hint="eastAsia" w:ascii="仿宋_GB2312" w:hAnsi="仿宋_GB2312" w:eastAsia="仿宋_GB2312" w:cs="仿宋_GB2312"/>
                <w:color w:val="auto"/>
                <w:sz w:val="32"/>
                <w:szCs w:val="32"/>
                <w:highlight w:val="none"/>
              </w:rPr>
              <w:t>只/选手</w:t>
            </w:r>
          </w:p>
        </w:tc>
        <w:tc>
          <w:tcPr>
            <w:tcW w:w="1547" w:type="pct"/>
            <w:shd w:val="clear" w:color="auto" w:fill="auto"/>
          </w:tcPr>
          <w:p w14:paraId="764D0BA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250mL</w:t>
            </w:r>
          </w:p>
        </w:tc>
      </w:tr>
      <w:tr w14:paraId="1DF7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544E13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p>
        </w:tc>
        <w:tc>
          <w:tcPr>
            <w:tcW w:w="1870" w:type="pct"/>
            <w:shd w:val="clear" w:color="auto" w:fill="auto"/>
          </w:tcPr>
          <w:p w14:paraId="349AC05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lang w:eastAsia="zh"/>
                <w:woUserID w:val="3"/>
              </w:rPr>
            </w:pPr>
            <w:r>
              <w:rPr>
                <w:rFonts w:hint="eastAsia" w:ascii="仿宋_GB2312" w:hAnsi="仿宋_GB2312" w:eastAsia="仿宋_GB2312" w:cs="仿宋_GB2312"/>
                <w:color w:val="auto"/>
                <w:sz w:val="32"/>
                <w:szCs w:val="32"/>
                <w:highlight w:val="none"/>
                <w:lang w:eastAsia="zh"/>
                <w:woUserID w:val="3"/>
              </w:rPr>
              <w:t>锥形瓶</w:t>
            </w:r>
          </w:p>
        </w:tc>
        <w:tc>
          <w:tcPr>
            <w:tcW w:w="1036" w:type="pct"/>
            <w:shd w:val="clear" w:color="auto" w:fill="auto"/>
          </w:tcPr>
          <w:p w14:paraId="103BAC2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3只/选手</w:t>
            </w:r>
          </w:p>
        </w:tc>
        <w:tc>
          <w:tcPr>
            <w:tcW w:w="1547" w:type="pct"/>
            <w:shd w:val="clear" w:color="auto" w:fill="auto"/>
          </w:tcPr>
          <w:p w14:paraId="5DED84C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3"/>
              </w:rPr>
              <w:t>3</w:t>
            </w:r>
            <w:r>
              <w:rPr>
                <w:rFonts w:hint="eastAsia" w:ascii="仿宋_GB2312" w:hAnsi="仿宋_GB2312" w:eastAsia="仿宋_GB2312" w:cs="仿宋_GB2312"/>
                <w:color w:val="auto"/>
                <w:sz w:val="32"/>
                <w:szCs w:val="32"/>
                <w:highlight w:val="none"/>
              </w:rPr>
              <w:t>00mL</w:t>
            </w:r>
          </w:p>
        </w:tc>
      </w:tr>
      <w:tr w14:paraId="000A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B36BA0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p>
        </w:tc>
        <w:tc>
          <w:tcPr>
            <w:tcW w:w="1870" w:type="pct"/>
            <w:shd w:val="clear" w:color="auto" w:fill="auto"/>
          </w:tcPr>
          <w:p w14:paraId="5F4DF03A">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量筒</w:t>
            </w:r>
          </w:p>
        </w:tc>
        <w:tc>
          <w:tcPr>
            <w:tcW w:w="1036" w:type="pct"/>
            <w:shd w:val="clear" w:color="auto" w:fill="auto"/>
          </w:tcPr>
          <w:p w14:paraId="0B82BC1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3"/>
              </w:rPr>
              <w:t>3</w:t>
            </w:r>
            <w:r>
              <w:rPr>
                <w:rFonts w:hint="eastAsia" w:ascii="仿宋_GB2312" w:hAnsi="仿宋_GB2312" w:eastAsia="仿宋_GB2312" w:cs="仿宋_GB2312"/>
                <w:color w:val="auto"/>
                <w:sz w:val="32"/>
                <w:szCs w:val="32"/>
                <w:highlight w:val="none"/>
              </w:rPr>
              <w:t>只/选手</w:t>
            </w:r>
          </w:p>
        </w:tc>
        <w:tc>
          <w:tcPr>
            <w:tcW w:w="1547" w:type="pct"/>
            <w:shd w:val="clear" w:color="auto" w:fill="auto"/>
          </w:tcPr>
          <w:p w14:paraId="1D8EA05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5mL</w:t>
            </w:r>
          </w:p>
        </w:tc>
      </w:tr>
      <w:tr w14:paraId="4AC7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C0DE82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p>
        </w:tc>
        <w:tc>
          <w:tcPr>
            <w:tcW w:w="1870" w:type="pct"/>
            <w:shd w:val="clear" w:color="auto" w:fill="auto"/>
          </w:tcPr>
          <w:p w14:paraId="73F96D8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量筒</w:t>
            </w:r>
          </w:p>
        </w:tc>
        <w:tc>
          <w:tcPr>
            <w:tcW w:w="1036" w:type="pct"/>
            <w:shd w:val="clear" w:color="auto" w:fill="auto"/>
          </w:tcPr>
          <w:p w14:paraId="79CD2D1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533AA40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10mL</w:t>
            </w:r>
          </w:p>
        </w:tc>
      </w:tr>
      <w:tr w14:paraId="6B83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1B405A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p>
        </w:tc>
        <w:tc>
          <w:tcPr>
            <w:tcW w:w="1870" w:type="pct"/>
            <w:shd w:val="clear" w:color="auto" w:fill="auto"/>
          </w:tcPr>
          <w:p w14:paraId="553BA12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量筒</w:t>
            </w:r>
          </w:p>
        </w:tc>
        <w:tc>
          <w:tcPr>
            <w:tcW w:w="1036" w:type="pct"/>
            <w:shd w:val="clear" w:color="auto" w:fill="auto"/>
          </w:tcPr>
          <w:p w14:paraId="1DFABF2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1DBC9EE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25mL</w:t>
            </w:r>
          </w:p>
        </w:tc>
      </w:tr>
      <w:tr w14:paraId="484D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62F332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7</w:t>
            </w:r>
          </w:p>
        </w:tc>
        <w:tc>
          <w:tcPr>
            <w:tcW w:w="1870" w:type="pct"/>
            <w:shd w:val="clear" w:color="auto" w:fill="auto"/>
          </w:tcPr>
          <w:p w14:paraId="1BC9E7B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量筒</w:t>
            </w:r>
          </w:p>
        </w:tc>
        <w:tc>
          <w:tcPr>
            <w:tcW w:w="1036" w:type="pct"/>
            <w:shd w:val="clear" w:color="auto" w:fill="auto"/>
          </w:tcPr>
          <w:p w14:paraId="2D17E15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3"/>
              </w:rPr>
              <w:t>1</w:t>
            </w:r>
            <w:r>
              <w:rPr>
                <w:rFonts w:hint="eastAsia" w:ascii="仿宋_GB2312" w:hAnsi="仿宋_GB2312" w:eastAsia="仿宋_GB2312" w:cs="仿宋_GB2312"/>
                <w:color w:val="auto"/>
                <w:sz w:val="32"/>
                <w:szCs w:val="32"/>
                <w:highlight w:val="none"/>
              </w:rPr>
              <w:t>只/选手</w:t>
            </w:r>
          </w:p>
        </w:tc>
        <w:tc>
          <w:tcPr>
            <w:tcW w:w="1547" w:type="pct"/>
            <w:shd w:val="clear" w:color="auto" w:fill="auto"/>
          </w:tcPr>
          <w:p w14:paraId="04CB6F6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0mL</w:t>
            </w:r>
          </w:p>
        </w:tc>
      </w:tr>
      <w:tr w14:paraId="390F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2BE4C0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p>
        </w:tc>
        <w:tc>
          <w:tcPr>
            <w:tcW w:w="1870" w:type="pct"/>
            <w:shd w:val="clear" w:color="auto" w:fill="auto"/>
          </w:tcPr>
          <w:p w14:paraId="5277316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量筒</w:t>
            </w:r>
          </w:p>
        </w:tc>
        <w:tc>
          <w:tcPr>
            <w:tcW w:w="1036" w:type="pct"/>
            <w:shd w:val="clear" w:color="auto" w:fill="auto"/>
          </w:tcPr>
          <w:p w14:paraId="4BDBB11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4070FE2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100mL</w:t>
            </w:r>
          </w:p>
        </w:tc>
      </w:tr>
      <w:tr w14:paraId="59D2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DD9911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9</w:t>
            </w:r>
          </w:p>
        </w:tc>
        <w:tc>
          <w:tcPr>
            <w:tcW w:w="1870" w:type="pct"/>
            <w:shd w:val="clear" w:color="auto" w:fill="auto"/>
          </w:tcPr>
          <w:p w14:paraId="45B5523A">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滴定架</w:t>
            </w:r>
          </w:p>
        </w:tc>
        <w:tc>
          <w:tcPr>
            <w:tcW w:w="1036" w:type="pct"/>
            <w:shd w:val="clear" w:color="auto" w:fill="auto"/>
          </w:tcPr>
          <w:p w14:paraId="37FF946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1套/选手</w:t>
            </w:r>
          </w:p>
        </w:tc>
        <w:tc>
          <w:tcPr>
            <w:tcW w:w="1547" w:type="pct"/>
            <w:shd w:val="clear" w:color="auto" w:fill="auto"/>
          </w:tcPr>
          <w:p w14:paraId="53607A7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含滴定管夹</w:t>
            </w:r>
          </w:p>
        </w:tc>
      </w:tr>
      <w:tr w14:paraId="6450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38F2DB0">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20</w:t>
            </w:r>
          </w:p>
        </w:tc>
        <w:tc>
          <w:tcPr>
            <w:tcW w:w="1870" w:type="pct"/>
            <w:shd w:val="clear" w:color="auto" w:fill="auto"/>
          </w:tcPr>
          <w:p w14:paraId="7598D6EB">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移液管架</w:t>
            </w:r>
          </w:p>
        </w:tc>
        <w:tc>
          <w:tcPr>
            <w:tcW w:w="1036" w:type="pct"/>
            <w:shd w:val="clear" w:color="auto" w:fill="auto"/>
          </w:tcPr>
          <w:p w14:paraId="473D19B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1套/选手</w:t>
            </w:r>
          </w:p>
        </w:tc>
        <w:tc>
          <w:tcPr>
            <w:tcW w:w="1547" w:type="pct"/>
            <w:shd w:val="clear" w:color="auto" w:fill="auto"/>
          </w:tcPr>
          <w:p w14:paraId="4AA032C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3A7D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5BC09045">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21</w:t>
            </w:r>
          </w:p>
        </w:tc>
        <w:tc>
          <w:tcPr>
            <w:tcW w:w="1870" w:type="pct"/>
            <w:shd w:val="clear" w:color="auto" w:fill="auto"/>
          </w:tcPr>
          <w:p w14:paraId="0D82DA51">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烧杯</w:t>
            </w:r>
          </w:p>
        </w:tc>
        <w:tc>
          <w:tcPr>
            <w:tcW w:w="1036" w:type="pct"/>
            <w:shd w:val="clear" w:color="auto" w:fill="auto"/>
          </w:tcPr>
          <w:p w14:paraId="3D1A6D0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1"/>
              </w:rPr>
              <w:t>12</w:t>
            </w:r>
            <w:r>
              <w:rPr>
                <w:rFonts w:hint="eastAsia" w:ascii="仿宋_GB2312" w:hAnsi="仿宋_GB2312" w:eastAsia="仿宋_GB2312" w:cs="仿宋_GB2312"/>
                <w:color w:val="auto"/>
                <w:sz w:val="32"/>
                <w:szCs w:val="32"/>
                <w:highlight w:val="none"/>
              </w:rPr>
              <w:t>只/选手</w:t>
            </w:r>
          </w:p>
        </w:tc>
        <w:tc>
          <w:tcPr>
            <w:tcW w:w="1547" w:type="pct"/>
            <w:shd w:val="clear" w:color="auto" w:fill="auto"/>
          </w:tcPr>
          <w:p w14:paraId="131A3F2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100mL</w:t>
            </w:r>
          </w:p>
        </w:tc>
      </w:tr>
      <w:tr w14:paraId="3BEF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5D4BFFBB">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2</w:t>
            </w:r>
          </w:p>
        </w:tc>
        <w:tc>
          <w:tcPr>
            <w:tcW w:w="1870" w:type="pct"/>
            <w:shd w:val="clear" w:color="auto" w:fill="auto"/>
          </w:tcPr>
          <w:p w14:paraId="7F64CD3A">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烧杯</w:t>
            </w:r>
          </w:p>
        </w:tc>
        <w:tc>
          <w:tcPr>
            <w:tcW w:w="1036" w:type="pct"/>
            <w:shd w:val="clear" w:color="auto" w:fill="auto"/>
          </w:tcPr>
          <w:p w14:paraId="04F4267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6只/选手</w:t>
            </w:r>
          </w:p>
        </w:tc>
        <w:tc>
          <w:tcPr>
            <w:tcW w:w="1547" w:type="pct"/>
            <w:shd w:val="clear" w:color="auto" w:fill="auto"/>
          </w:tcPr>
          <w:p w14:paraId="58EBC1B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250mL</w:t>
            </w:r>
          </w:p>
        </w:tc>
      </w:tr>
      <w:tr w14:paraId="3BED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43768E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3</w:t>
            </w:r>
          </w:p>
        </w:tc>
        <w:tc>
          <w:tcPr>
            <w:tcW w:w="1870" w:type="pct"/>
            <w:shd w:val="clear" w:color="auto" w:fill="auto"/>
          </w:tcPr>
          <w:p w14:paraId="5247B675">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烧杯</w:t>
            </w:r>
          </w:p>
        </w:tc>
        <w:tc>
          <w:tcPr>
            <w:tcW w:w="1036" w:type="pct"/>
            <w:shd w:val="clear" w:color="auto" w:fill="auto"/>
          </w:tcPr>
          <w:p w14:paraId="2646D89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2只/选手</w:t>
            </w:r>
          </w:p>
        </w:tc>
        <w:tc>
          <w:tcPr>
            <w:tcW w:w="1547" w:type="pct"/>
            <w:shd w:val="clear" w:color="auto" w:fill="auto"/>
          </w:tcPr>
          <w:p w14:paraId="5EA20A5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500mL</w:t>
            </w:r>
          </w:p>
        </w:tc>
      </w:tr>
      <w:tr w14:paraId="6F47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65F826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4</w:t>
            </w:r>
          </w:p>
        </w:tc>
        <w:tc>
          <w:tcPr>
            <w:tcW w:w="1870" w:type="pct"/>
            <w:shd w:val="clear" w:color="auto" w:fill="auto"/>
          </w:tcPr>
          <w:p w14:paraId="2232B2AC">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烧杯</w:t>
            </w:r>
          </w:p>
        </w:tc>
        <w:tc>
          <w:tcPr>
            <w:tcW w:w="1036" w:type="pct"/>
            <w:shd w:val="clear" w:color="auto" w:fill="auto"/>
          </w:tcPr>
          <w:p w14:paraId="0647AAE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woUserID w:val="1"/>
              </w:rPr>
              <w:t>2</w:t>
            </w:r>
            <w:r>
              <w:rPr>
                <w:rFonts w:hint="eastAsia" w:ascii="仿宋_GB2312" w:hAnsi="仿宋_GB2312" w:eastAsia="仿宋_GB2312" w:cs="仿宋_GB2312"/>
                <w:color w:val="auto"/>
                <w:sz w:val="32"/>
                <w:szCs w:val="32"/>
                <w:highlight w:val="none"/>
              </w:rPr>
              <w:t>只/选手</w:t>
            </w:r>
          </w:p>
        </w:tc>
        <w:tc>
          <w:tcPr>
            <w:tcW w:w="1547" w:type="pct"/>
            <w:shd w:val="clear" w:color="auto" w:fill="auto"/>
          </w:tcPr>
          <w:p w14:paraId="392C8B6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1000mL</w:t>
            </w:r>
          </w:p>
        </w:tc>
      </w:tr>
      <w:tr w14:paraId="533D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7CE8E0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25</w:t>
            </w:r>
          </w:p>
        </w:tc>
        <w:tc>
          <w:tcPr>
            <w:tcW w:w="1870" w:type="pct"/>
            <w:shd w:val="clear" w:color="auto" w:fill="auto"/>
          </w:tcPr>
          <w:p w14:paraId="5D3398D1">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玻璃棒</w:t>
            </w:r>
          </w:p>
        </w:tc>
        <w:tc>
          <w:tcPr>
            <w:tcW w:w="1036" w:type="pct"/>
            <w:shd w:val="clear" w:color="auto" w:fill="auto"/>
          </w:tcPr>
          <w:p w14:paraId="4DA279F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6根/选手</w:t>
            </w:r>
          </w:p>
        </w:tc>
        <w:tc>
          <w:tcPr>
            <w:tcW w:w="1547" w:type="pct"/>
            <w:shd w:val="clear" w:color="auto" w:fill="auto"/>
          </w:tcPr>
          <w:p w14:paraId="5594127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15cm</w:t>
            </w:r>
          </w:p>
        </w:tc>
      </w:tr>
      <w:tr w14:paraId="5DA8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2E2327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6</w:t>
            </w:r>
          </w:p>
        </w:tc>
        <w:tc>
          <w:tcPr>
            <w:tcW w:w="1870" w:type="pct"/>
            <w:shd w:val="clear" w:color="auto" w:fill="auto"/>
          </w:tcPr>
          <w:p w14:paraId="7F4F13CD">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洗瓶</w:t>
            </w:r>
          </w:p>
        </w:tc>
        <w:tc>
          <w:tcPr>
            <w:tcW w:w="1036" w:type="pct"/>
            <w:shd w:val="clear" w:color="auto" w:fill="auto"/>
          </w:tcPr>
          <w:p w14:paraId="37C0CDE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4A79BE5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500mL</w:t>
            </w:r>
          </w:p>
        </w:tc>
      </w:tr>
      <w:tr w14:paraId="10B2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057FD0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7</w:t>
            </w:r>
          </w:p>
        </w:tc>
        <w:tc>
          <w:tcPr>
            <w:tcW w:w="1870" w:type="pct"/>
            <w:shd w:val="clear" w:color="auto" w:fill="auto"/>
          </w:tcPr>
          <w:p w14:paraId="15007C03">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塑料量杯</w:t>
            </w:r>
          </w:p>
        </w:tc>
        <w:tc>
          <w:tcPr>
            <w:tcW w:w="1036" w:type="pct"/>
            <w:shd w:val="clear" w:color="auto" w:fill="auto"/>
          </w:tcPr>
          <w:p w14:paraId="1E9CCFD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0A018F4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1000mL</w:t>
            </w:r>
          </w:p>
        </w:tc>
      </w:tr>
      <w:tr w14:paraId="3CB4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1F4B87E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8</w:t>
            </w:r>
          </w:p>
        </w:tc>
        <w:tc>
          <w:tcPr>
            <w:tcW w:w="1870" w:type="pct"/>
            <w:shd w:val="clear" w:color="auto" w:fill="auto"/>
          </w:tcPr>
          <w:p w14:paraId="5CDC4FB5">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洗耳球</w:t>
            </w:r>
          </w:p>
        </w:tc>
        <w:tc>
          <w:tcPr>
            <w:tcW w:w="1036" w:type="pct"/>
            <w:shd w:val="clear" w:color="auto" w:fill="auto"/>
          </w:tcPr>
          <w:p w14:paraId="30012D9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0A8F6FA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60mL</w:t>
            </w:r>
          </w:p>
        </w:tc>
      </w:tr>
      <w:tr w14:paraId="3EA2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8F2216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27</w:t>
            </w:r>
          </w:p>
        </w:tc>
        <w:tc>
          <w:tcPr>
            <w:tcW w:w="1870" w:type="pct"/>
            <w:shd w:val="clear" w:color="auto" w:fill="auto"/>
          </w:tcPr>
          <w:p w14:paraId="02D086F9">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表面皿</w:t>
            </w:r>
          </w:p>
        </w:tc>
        <w:tc>
          <w:tcPr>
            <w:tcW w:w="1036" w:type="pct"/>
            <w:shd w:val="clear" w:color="auto" w:fill="auto"/>
          </w:tcPr>
          <w:p w14:paraId="0FA0BFB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3只/选手</w:t>
            </w:r>
          </w:p>
        </w:tc>
        <w:tc>
          <w:tcPr>
            <w:tcW w:w="1547" w:type="pct"/>
            <w:shd w:val="clear" w:color="auto" w:fill="auto"/>
          </w:tcPr>
          <w:p w14:paraId="3A25A81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6cm</w:t>
            </w:r>
          </w:p>
        </w:tc>
      </w:tr>
      <w:tr w14:paraId="2D24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F84246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28</w:t>
            </w:r>
          </w:p>
        </w:tc>
        <w:tc>
          <w:tcPr>
            <w:tcW w:w="1870" w:type="pct"/>
            <w:shd w:val="clear" w:color="auto" w:fill="auto"/>
          </w:tcPr>
          <w:p w14:paraId="703529F6">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称量瓶</w:t>
            </w:r>
          </w:p>
        </w:tc>
        <w:tc>
          <w:tcPr>
            <w:tcW w:w="1036" w:type="pct"/>
            <w:shd w:val="clear" w:color="auto" w:fill="auto"/>
          </w:tcPr>
          <w:p w14:paraId="33B280D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2只/选手</w:t>
            </w:r>
          </w:p>
        </w:tc>
        <w:tc>
          <w:tcPr>
            <w:tcW w:w="1547" w:type="pct"/>
            <w:shd w:val="clear" w:color="auto" w:fill="auto"/>
          </w:tcPr>
          <w:p w14:paraId="78B10CC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25*40</w:t>
            </w:r>
          </w:p>
        </w:tc>
      </w:tr>
      <w:tr w14:paraId="14C6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A2A700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29</w:t>
            </w:r>
          </w:p>
        </w:tc>
        <w:tc>
          <w:tcPr>
            <w:tcW w:w="1870" w:type="pct"/>
            <w:shd w:val="clear" w:color="auto" w:fill="auto"/>
          </w:tcPr>
          <w:p w14:paraId="39850BA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天平刷</w:t>
            </w:r>
          </w:p>
        </w:tc>
        <w:tc>
          <w:tcPr>
            <w:tcW w:w="1036" w:type="pct"/>
            <w:shd w:val="clear" w:color="auto" w:fill="auto"/>
          </w:tcPr>
          <w:p w14:paraId="0750865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448F1E7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12cm,木柄</w:t>
            </w:r>
          </w:p>
        </w:tc>
      </w:tr>
      <w:tr w14:paraId="5095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968FC2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30</w:t>
            </w:r>
          </w:p>
        </w:tc>
        <w:tc>
          <w:tcPr>
            <w:tcW w:w="1870" w:type="pct"/>
            <w:shd w:val="clear" w:color="auto" w:fill="auto"/>
          </w:tcPr>
          <w:p w14:paraId="682D787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培养皿</w:t>
            </w:r>
          </w:p>
        </w:tc>
        <w:tc>
          <w:tcPr>
            <w:tcW w:w="1036" w:type="pct"/>
            <w:shd w:val="clear" w:color="auto" w:fill="auto"/>
          </w:tcPr>
          <w:p w14:paraId="56A8C9B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71E80CE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直径10cm</w:t>
            </w:r>
          </w:p>
        </w:tc>
      </w:tr>
      <w:tr w14:paraId="042E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BCC338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31</w:t>
            </w:r>
          </w:p>
        </w:tc>
        <w:tc>
          <w:tcPr>
            <w:tcW w:w="1870" w:type="pct"/>
            <w:shd w:val="clear" w:color="auto" w:fill="auto"/>
          </w:tcPr>
          <w:p w14:paraId="14F82AD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定性滤纸</w:t>
            </w:r>
          </w:p>
        </w:tc>
        <w:tc>
          <w:tcPr>
            <w:tcW w:w="1036" w:type="pct"/>
            <w:shd w:val="clear" w:color="auto" w:fill="auto"/>
          </w:tcPr>
          <w:p w14:paraId="19DF583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1盒/选手</w:t>
            </w:r>
          </w:p>
        </w:tc>
        <w:tc>
          <w:tcPr>
            <w:tcW w:w="1547" w:type="pct"/>
            <w:shd w:val="clear" w:color="auto" w:fill="auto"/>
          </w:tcPr>
          <w:p w14:paraId="027A705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直径11cm</w:t>
            </w:r>
          </w:p>
        </w:tc>
      </w:tr>
      <w:tr w14:paraId="05FC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DA75A6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32</w:t>
            </w:r>
          </w:p>
        </w:tc>
        <w:tc>
          <w:tcPr>
            <w:tcW w:w="1870" w:type="pct"/>
            <w:shd w:val="clear" w:color="auto" w:fill="auto"/>
          </w:tcPr>
          <w:p w14:paraId="1BBF8937">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称量纸</w:t>
            </w:r>
          </w:p>
        </w:tc>
        <w:tc>
          <w:tcPr>
            <w:tcW w:w="1036" w:type="pct"/>
            <w:shd w:val="clear" w:color="auto" w:fill="auto"/>
          </w:tcPr>
          <w:p w14:paraId="1CB4698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1包/选手</w:t>
            </w:r>
          </w:p>
        </w:tc>
        <w:tc>
          <w:tcPr>
            <w:tcW w:w="1547" w:type="pct"/>
            <w:shd w:val="clear" w:color="auto" w:fill="auto"/>
          </w:tcPr>
          <w:p w14:paraId="0DE7DEB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10×10cm</w:t>
            </w:r>
          </w:p>
        </w:tc>
      </w:tr>
      <w:tr w14:paraId="7A9D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FD9F0E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33</w:t>
            </w:r>
          </w:p>
        </w:tc>
        <w:tc>
          <w:tcPr>
            <w:tcW w:w="1870" w:type="pct"/>
            <w:shd w:val="clear" w:color="auto" w:fill="auto"/>
          </w:tcPr>
          <w:p w14:paraId="6AB8563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擦镜纸</w:t>
            </w:r>
          </w:p>
        </w:tc>
        <w:tc>
          <w:tcPr>
            <w:tcW w:w="1036" w:type="pct"/>
            <w:shd w:val="clear" w:color="auto" w:fill="auto"/>
          </w:tcPr>
          <w:p w14:paraId="0633E72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1本/选手</w:t>
            </w:r>
          </w:p>
        </w:tc>
        <w:tc>
          <w:tcPr>
            <w:tcW w:w="1547" w:type="pct"/>
            <w:shd w:val="clear" w:color="auto" w:fill="auto"/>
          </w:tcPr>
          <w:p w14:paraId="2E03515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0B3B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5E66ED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34</w:t>
            </w:r>
          </w:p>
        </w:tc>
        <w:tc>
          <w:tcPr>
            <w:tcW w:w="1870" w:type="pct"/>
            <w:shd w:val="clear" w:color="auto" w:fill="auto"/>
          </w:tcPr>
          <w:p w14:paraId="72274B5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标签纸</w:t>
            </w:r>
          </w:p>
        </w:tc>
        <w:tc>
          <w:tcPr>
            <w:tcW w:w="1036" w:type="pct"/>
            <w:shd w:val="clear" w:color="auto" w:fill="auto"/>
          </w:tcPr>
          <w:p w14:paraId="2901D6D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2张/选手</w:t>
            </w:r>
          </w:p>
        </w:tc>
        <w:tc>
          <w:tcPr>
            <w:tcW w:w="1547" w:type="pct"/>
            <w:shd w:val="clear" w:color="auto" w:fill="auto"/>
          </w:tcPr>
          <w:p w14:paraId="65E6F5C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68A6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EA66A7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35</w:t>
            </w:r>
          </w:p>
        </w:tc>
        <w:tc>
          <w:tcPr>
            <w:tcW w:w="1870" w:type="pct"/>
            <w:shd w:val="clear" w:color="auto" w:fill="auto"/>
          </w:tcPr>
          <w:p w14:paraId="35CDFCE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pH试纸</w:t>
            </w:r>
          </w:p>
        </w:tc>
        <w:tc>
          <w:tcPr>
            <w:tcW w:w="1036" w:type="pct"/>
            <w:shd w:val="clear" w:color="auto" w:fill="auto"/>
          </w:tcPr>
          <w:p w14:paraId="5561449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1本/选手</w:t>
            </w:r>
          </w:p>
        </w:tc>
        <w:tc>
          <w:tcPr>
            <w:tcW w:w="1547" w:type="pct"/>
            <w:shd w:val="clear" w:color="auto" w:fill="auto"/>
          </w:tcPr>
          <w:p w14:paraId="33854FD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pH 1-14</w:t>
            </w:r>
          </w:p>
        </w:tc>
      </w:tr>
      <w:tr w14:paraId="4FF8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3E7746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36</w:t>
            </w:r>
          </w:p>
        </w:tc>
        <w:tc>
          <w:tcPr>
            <w:tcW w:w="1870" w:type="pct"/>
            <w:shd w:val="clear" w:color="auto" w:fill="auto"/>
          </w:tcPr>
          <w:p w14:paraId="6738F1B3">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干燥器</w:t>
            </w:r>
          </w:p>
        </w:tc>
        <w:tc>
          <w:tcPr>
            <w:tcW w:w="1036" w:type="pct"/>
            <w:shd w:val="clear" w:color="auto" w:fill="auto"/>
          </w:tcPr>
          <w:p w14:paraId="71253E1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1台/选手</w:t>
            </w:r>
          </w:p>
        </w:tc>
        <w:tc>
          <w:tcPr>
            <w:tcW w:w="1547" w:type="pct"/>
            <w:shd w:val="clear" w:color="auto" w:fill="auto"/>
          </w:tcPr>
          <w:p w14:paraId="3C3396E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4FA1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78A2A1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37</w:t>
            </w:r>
          </w:p>
        </w:tc>
        <w:tc>
          <w:tcPr>
            <w:tcW w:w="1870" w:type="pct"/>
            <w:shd w:val="clear" w:color="auto" w:fill="auto"/>
          </w:tcPr>
          <w:p w14:paraId="0B71699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计算器</w:t>
            </w:r>
          </w:p>
        </w:tc>
        <w:tc>
          <w:tcPr>
            <w:tcW w:w="1036" w:type="pct"/>
            <w:shd w:val="clear" w:color="auto" w:fill="auto"/>
          </w:tcPr>
          <w:p w14:paraId="609F245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2BDF74E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5BF3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5113297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38</w:t>
            </w:r>
          </w:p>
        </w:tc>
        <w:tc>
          <w:tcPr>
            <w:tcW w:w="1870" w:type="pct"/>
            <w:shd w:val="clear" w:color="auto" w:fill="auto"/>
          </w:tcPr>
          <w:p w14:paraId="03B10C41">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秒表</w:t>
            </w:r>
          </w:p>
        </w:tc>
        <w:tc>
          <w:tcPr>
            <w:tcW w:w="1036" w:type="pct"/>
            <w:shd w:val="clear" w:color="auto" w:fill="auto"/>
          </w:tcPr>
          <w:p w14:paraId="043CC7D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338FEB8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6773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0E1C01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39</w:t>
            </w:r>
          </w:p>
        </w:tc>
        <w:tc>
          <w:tcPr>
            <w:tcW w:w="1870" w:type="pct"/>
            <w:shd w:val="clear" w:color="auto" w:fill="auto"/>
          </w:tcPr>
          <w:p w14:paraId="2C76126E">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记号笔</w:t>
            </w:r>
          </w:p>
        </w:tc>
        <w:tc>
          <w:tcPr>
            <w:tcW w:w="1036" w:type="pct"/>
            <w:shd w:val="clear" w:color="auto" w:fill="auto"/>
          </w:tcPr>
          <w:p w14:paraId="3E7140F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1支/选手</w:t>
            </w:r>
          </w:p>
        </w:tc>
        <w:tc>
          <w:tcPr>
            <w:tcW w:w="1547" w:type="pct"/>
            <w:shd w:val="clear" w:color="auto" w:fill="auto"/>
          </w:tcPr>
          <w:p w14:paraId="4BA8248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2EB6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39A084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40</w:t>
            </w:r>
          </w:p>
        </w:tc>
        <w:tc>
          <w:tcPr>
            <w:tcW w:w="1870" w:type="pct"/>
            <w:shd w:val="clear" w:color="auto" w:fill="auto"/>
          </w:tcPr>
          <w:p w14:paraId="245B15F6">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储物筐</w:t>
            </w:r>
          </w:p>
        </w:tc>
        <w:tc>
          <w:tcPr>
            <w:tcW w:w="1036" w:type="pct"/>
            <w:shd w:val="clear" w:color="auto" w:fill="auto"/>
          </w:tcPr>
          <w:p w14:paraId="4B768B1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58B4A58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5D6D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569E82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41</w:t>
            </w:r>
          </w:p>
        </w:tc>
        <w:tc>
          <w:tcPr>
            <w:tcW w:w="1870" w:type="pct"/>
            <w:shd w:val="clear" w:color="auto" w:fill="auto"/>
          </w:tcPr>
          <w:p w14:paraId="3158FF5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抹布</w:t>
            </w:r>
          </w:p>
        </w:tc>
        <w:tc>
          <w:tcPr>
            <w:tcW w:w="1036" w:type="pct"/>
            <w:shd w:val="clear" w:color="auto" w:fill="auto"/>
          </w:tcPr>
          <w:p w14:paraId="1E886B0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1块/选手</w:t>
            </w:r>
          </w:p>
        </w:tc>
        <w:tc>
          <w:tcPr>
            <w:tcW w:w="1547" w:type="pct"/>
            <w:shd w:val="clear" w:color="auto" w:fill="auto"/>
          </w:tcPr>
          <w:p w14:paraId="42F3A2C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04A6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AF344E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42</w:t>
            </w:r>
          </w:p>
        </w:tc>
        <w:tc>
          <w:tcPr>
            <w:tcW w:w="1870" w:type="pct"/>
            <w:shd w:val="clear" w:color="auto" w:fill="auto"/>
          </w:tcPr>
          <w:p w14:paraId="591211CB">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电热套</w:t>
            </w:r>
          </w:p>
        </w:tc>
        <w:tc>
          <w:tcPr>
            <w:tcW w:w="1036" w:type="pct"/>
            <w:shd w:val="clear" w:color="auto" w:fill="auto"/>
          </w:tcPr>
          <w:p w14:paraId="1275F67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1台/选手</w:t>
            </w:r>
          </w:p>
        </w:tc>
        <w:tc>
          <w:tcPr>
            <w:tcW w:w="1547" w:type="pct"/>
            <w:shd w:val="clear" w:color="auto" w:fill="auto"/>
          </w:tcPr>
          <w:p w14:paraId="22A43C0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250mL，220V</w:t>
            </w:r>
          </w:p>
        </w:tc>
      </w:tr>
      <w:tr w14:paraId="526F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50E5A95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43</w:t>
            </w:r>
          </w:p>
        </w:tc>
        <w:tc>
          <w:tcPr>
            <w:tcW w:w="1870" w:type="pct"/>
            <w:shd w:val="clear" w:color="auto" w:fill="auto"/>
          </w:tcPr>
          <w:p w14:paraId="418B3FEB">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铁架台</w:t>
            </w:r>
          </w:p>
        </w:tc>
        <w:tc>
          <w:tcPr>
            <w:tcW w:w="1036" w:type="pct"/>
            <w:shd w:val="clear" w:color="auto" w:fill="auto"/>
          </w:tcPr>
          <w:p w14:paraId="1C4283C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2个/选手</w:t>
            </w:r>
          </w:p>
        </w:tc>
        <w:tc>
          <w:tcPr>
            <w:tcW w:w="1547" w:type="pct"/>
            <w:shd w:val="clear" w:color="auto" w:fill="auto"/>
          </w:tcPr>
          <w:p w14:paraId="4C24A6A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023C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4CA905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44</w:t>
            </w:r>
          </w:p>
        </w:tc>
        <w:tc>
          <w:tcPr>
            <w:tcW w:w="1870" w:type="pct"/>
            <w:shd w:val="clear" w:color="auto" w:fill="auto"/>
          </w:tcPr>
          <w:p w14:paraId="29C3D555">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铁圈</w:t>
            </w:r>
          </w:p>
        </w:tc>
        <w:tc>
          <w:tcPr>
            <w:tcW w:w="1036" w:type="pct"/>
            <w:shd w:val="clear" w:color="auto" w:fill="auto"/>
          </w:tcPr>
          <w:p w14:paraId="041A614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5CDC29A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外径8.2cm</w:t>
            </w:r>
          </w:p>
        </w:tc>
      </w:tr>
      <w:tr w14:paraId="3E49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2B9612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45</w:t>
            </w:r>
          </w:p>
        </w:tc>
        <w:tc>
          <w:tcPr>
            <w:tcW w:w="1870" w:type="pct"/>
            <w:shd w:val="clear" w:color="auto" w:fill="auto"/>
          </w:tcPr>
          <w:p w14:paraId="790E4BA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升降台</w:t>
            </w:r>
          </w:p>
        </w:tc>
        <w:tc>
          <w:tcPr>
            <w:tcW w:w="1036" w:type="pct"/>
            <w:shd w:val="clear" w:color="auto" w:fill="auto"/>
          </w:tcPr>
          <w:p w14:paraId="4E6EDD1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2个/选手</w:t>
            </w:r>
          </w:p>
        </w:tc>
        <w:tc>
          <w:tcPr>
            <w:tcW w:w="1547" w:type="pct"/>
            <w:shd w:val="clear" w:color="auto" w:fill="auto"/>
          </w:tcPr>
          <w:p w14:paraId="4421792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15cm*15cm</w:t>
            </w:r>
          </w:p>
        </w:tc>
      </w:tr>
      <w:tr w14:paraId="56AF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7C89A4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46</w:t>
            </w:r>
          </w:p>
        </w:tc>
        <w:tc>
          <w:tcPr>
            <w:tcW w:w="1870" w:type="pct"/>
            <w:shd w:val="clear" w:color="auto" w:fill="auto"/>
          </w:tcPr>
          <w:p w14:paraId="3E414A1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烧瓶夹</w:t>
            </w:r>
          </w:p>
        </w:tc>
        <w:tc>
          <w:tcPr>
            <w:tcW w:w="1036" w:type="pct"/>
            <w:shd w:val="clear" w:color="auto" w:fill="auto"/>
          </w:tcPr>
          <w:p w14:paraId="48FCD54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5613B08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25F0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59AB7BF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47</w:t>
            </w:r>
          </w:p>
        </w:tc>
        <w:tc>
          <w:tcPr>
            <w:tcW w:w="1870" w:type="pct"/>
            <w:shd w:val="clear" w:color="auto" w:fill="auto"/>
          </w:tcPr>
          <w:p w14:paraId="64C6B259">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万能夹</w:t>
            </w:r>
          </w:p>
        </w:tc>
        <w:tc>
          <w:tcPr>
            <w:tcW w:w="1036" w:type="pct"/>
            <w:shd w:val="clear" w:color="auto" w:fill="auto"/>
          </w:tcPr>
          <w:p w14:paraId="71BD6F8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30E3FEB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6CCE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2E7B90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48</w:t>
            </w:r>
          </w:p>
        </w:tc>
        <w:tc>
          <w:tcPr>
            <w:tcW w:w="1870" w:type="pct"/>
            <w:shd w:val="clear" w:color="auto" w:fill="auto"/>
          </w:tcPr>
          <w:p w14:paraId="1219EB1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十字夹</w:t>
            </w:r>
          </w:p>
        </w:tc>
        <w:tc>
          <w:tcPr>
            <w:tcW w:w="1036" w:type="pct"/>
            <w:shd w:val="clear" w:color="auto" w:fill="auto"/>
          </w:tcPr>
          <w:p w14:paraId="54452DB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2个/选手</w:t>
            </w:r>
          </w:p>
        </w:tc>
        <w:tc>
          <w:tcPr>
            <w:tcW w:w="1547" w:type="pct"/>
            <w:shd w:val="clear" w:color="auto" w:fill="auto"/>
          </w:tcPr>
          <w:p w14:paraId="06EF448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4BA2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1A6EF12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49</w:t>
            </w:r>
          </w:p>
        </w:tc>
        <w:tc>
          <w:tcPr>
            <w:tcW w:w="1870" w:type="pct"/>
            <w:shd w:val="clear" w:color="auto" w:fill="auto"/>
          </w:tcPr>
          <w:p w14:paraId="405D803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单颈烧瓶</w:t>
            </w:r>
          </w:p>
        </w:tc>
        <w:tc>
          <w:tcPr>
            <w:tcW w:w="1036" w:type="pct"/>
            <w:shd w:val="clear" w:color="auto" w:fill="auto"/>
          </w:tcPr>
          <w:p w14:paraId="1378776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5"/>
              </w:rPr>
              <w:t>1</w:t>
            </w:r>
            <w:r>
              <w:rPr>
                <w:rFonts w:hint="eastAsia" w:ascii="仿宋_GB2312" w:hAnsi="仿宋_GB2312" w:eastAsia="仿宋_GB2312" w:cs="仿宋_GB2312"/>
                <w:color w:val="auto"/>
                <w:sz w:val="32"/>
                <w:szCs w:val="32"/>
                <w:highlight w:val="none"/>
              </w:rPr>
              <w:t>只/选手</w:t>
            </w:r>
          </w:p>
        </w:tc>
        <w:tc>
          <w:tcPr>
            <w:tcW w:w="1547" w:type="pct"/>
            <w:shd w:val="clear" w:color="auto" w:fill="auto"/>
          </w:tcPr>
          <w:p w14:paraId="1ED5782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24#磨口，100mL</w:t>
            </w:r>
          </w:p>
        </w:tc>
      </w:tr>
      <w:tr w14:paraId="222A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10644AB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50</w:t>
            </w:r>
          </w:p>
        </w:tc>
        <w:tc>
          <w:tcPr>
            <w:tcW w:w="1870" w:type="pct"/>
            <w:shd w:val="clear" w:color="auto" w:fill="auto"/>
          </w:tcPr>
          <w:p w14:paraId="53F0E46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5"/>
              </w:rPr>
              <w:t>三</w:t>
            </w:r>
            <w:r>
              <w:rPr>
                <w:rFonts w:hint="eastAsia" w:ascii="仿宋_GB2312" w:hAnsi="仿宋_GB2312" w:eastAsia="仿宋_GB2312" w:cs="仿宋_GB2312"/>
                <w:color w:val="auto"/>
                <w:sz w:val="32"/>
                <w:szCs w:val="32"/>
                <w:highlight w:val="none"/>
                <w:woUserID w:val="5"/>
              </w:rPr>
              <w:t>颈烧瓶</w:t>
            </w:r>
          </w:p>
        </w:tc>
        <w:tc>
          <w:tcPr>
            <w:tcW w:w="1036" w:type="pct"/>
            <w:shd w:val="clear" w:color="auto" w:fill="auto"/>
          </w:tcPr>
          <w:p w14:paraId="0470819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6D4FCDC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24#磨口</w:t>
            </w:r>
            <w:r>
              <w:rPr>
                <w:rFonts w:hint="eastAsia" w:ascii="仿宋_GB2312" w:hAnsi="仿宋_GB2312" w:eastAsia="仿宋_GB2312" w:cs="仿宋_GB2312"/>
                <w:color w:val="auto"/>
                <w:sz w:val="32"/>
                <w:szCs w:val="32"/>
                <w:highlight w:val="none"/>
                <w:woUserID w:val="5"/>
              </w:rPr>
              <w:t>，100mL</w:t>
            </w:r>
          </w:p>
        </w:tc>
      </w:tr>
      <w:tr w14:paraId="3795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5FB9E5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51</w:t>
            </w:r>
          </w:p>
        </w:tc>
        <w:tc>
          <w:tcPr>
            <w:tcW w:w="1870" w:type="pct"/>
            <w:shd w:val="clear" w:color="auto" w:fill="auto"/>
          </w:tcPr>
          <w:p w14:paraId="30EC81A9">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蒸馏头</w:t>
            </w:r>
          </w:p>
        </w:tc>
        <w:tc>
          <w:tcPr>
            <w:tcW w:w="1036" w:type="pct"/>
            <w:shd w:val="clear" w:color="auto" w:fill="auto"/>
          </w:tcPr>
          <w:p w14:paraId="4EE3FA0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0CB3C58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24#磨口</w:t>
            </w:r>
          </w:p>
        </w:tc>
      </w:tr>
      <w:tr w14:paraId="6354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E745FAC">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_GB2312" w:hAnsi="仿宋_GB2312" w:eastAsia="仿宋_GB2312" w:cs="仿宋_GB2312"/>
                <w:color w:val="auto"/>
                <w:sz w:val="32"/>
                <w:szCs w:val="32"/>
                <w:highlight w:val="none"/>
                <w:lang w:val="en-US" w:eastAsia="zh-CN"/>
                <w:woUserID w:val="5"/>
              </w:rPr>
            </w:pPr>
            <w:r>
              <w:rPr>
                <w:rFonts w:hint="eastAsia" w:ascii="仿宋_GB2312" w:hAnsi="仿宋_GB2312" w:eastAsia="仿宋_GB2312" w:cs="仿宋_GB2312"/>
                <w:color w:val="auto"/>
                <w:sz w:val="32"/>
                <w:szCs w:val="32"/>
                <w:highlight w:val="none"/>
                <w:lang w:val="en-US" w:eastAsia="zh-CN"/>
                <w:woUserID w:val="5"/>
              </w:rPr>
              <w:t>52</w:t>
            </w:r>
          </w:p>
        </w:tc>
        <w:tc>
          <w:tcPr>
            <w:tcW w:w="1870" w:type="pct"/>
            <w:shd w:val="clear" w:color="auto" w:fill="auto"/>
          </w:tcPr>
          <w:p w14:paraId="0F57B5CB">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仿宋_GB2312" w:eastAsia="仿宋_GB2312" w:cs="仿宋_GB2312"/>
                <w:color w:val="auto"/>
                <w:sz w:val="32"/>
                <w:szCs w:val="32"/>
                <w:highlight w:val="none"/>
                <w:lang w:eastAsia="zh"/>
                <w:woUserID w:val="5"/>
              </w:rPr>
            </w:pPr>
            <w:r>
              <w:rPr>
                <w:rFonts w:hint="eastAsia" w:ascii="仿宋_GB2312" w:hAnsi="仿宋_GB2312" w:eastAsia="仿宋_GB2312" w:cs="仿宋_GB2312"/>
                <w:color w:val="auto"/>
                <w:sz w:val="32"/>
                <w:szCs w:val="32"/>
                <w:highlight w:val="none"/>
                <w:lang w:eastAsia="zh"/>
                <w:woUserID w:val="5"/>
              </w:rPr>
              <w:t>分水器</w:t>
            </w:r>
          </w:p>
        </w:tc>
        <w:tc>
          <w:tcPr>
            <w:tcW w:w="1036" w:type="pct"/>
            <w:shd w:val="clear" w:color="auto" w:fill="auto"/>
            <w:vAlign w:val="top"/>
          </w:tcPr>
          <w:p w14:paraId="574A8AD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woUserID w:val="5"/>
              </w:rPr>
            </w:pPr>
            <w:r>
              <w:rPr>
                <w:rFonts w:hint="eastAsia" w:ascii="仿宋_GB2312" w:hAnsi="仿宋_GB2312" w:eastAsia="仿宋_GB2312" w:cs="仿宋_GB2312"/>
                <w:color w:val="auto"/>
                <w:sz w:val="32"/>
                <w:szCs w:val="32"/>
                <w:highlight w:val="none"/>
                <w:woUserID w:val="5"/>
              </w:rPr>
              <w:t>1只/选手</w:t>
            </w:r>
          </w:p>
        </w:tc>
        <w:tc>
          <w:tcPr>
            <w:tcW w:w="1547" w:type="pct"/>
            <w:shd w:val="clear" w:color="auto" w:fill="auto"/>
          </w:tcPr>
          <w:p w14:paraId="5573C12C">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auto"/>
                <w:sz w:val="32"/>
                <w:szCs w:val="32"/>
                <w:highlight w:val="none"/>
                <w:woUserID w:val="5"/>
              </w:rPr>
            </w:pPr>
            <w:r>
              <w:rPr>
                <w:rFonts w:hint="eastAsia" w:ascii="仿宋_GB2312" w:hAnsi="仿宋_GB2312" w:eastAsia="仿宋_GB2312" w:cs="仿宋_GB2312"/>
                <w:color w:val="auto"/>
                <w:sz w:val="32"/>
                <w:szCs w:val="32"/>
                <w:highlight w:val="none"/>
                <w:woUserID w:val="5"/>
              </w:rPr>
              <w:t>24#磨口</w:t>
            </w:r>
          </w:p>
        </w:tc>
      </w:tr>
      <w:tr w14:paraId="2BB5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5EFF35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3</w:t>
            </w:r>
          </w:p>
        </w:tc>
        <w:tc>
          <w:tcPr>
            <w:tcW w:w="1870" w:type="pct"/>
            <w:shd w:val="clear" w:color="auto" w:fill="auto"/>
          </w:tcPr>
          <w:p w14:paraId="2EFE1687">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直形冷凝管</w:t>
            </w:r>
          </w:p>
        </w:tc>
        <w:tc>
          <w:tcPr>
            <w:tcW w:w="1036" w:type="pct"/>
            <w:shd w:val="clear" w:color="auto" w:fill="auto"/>
          </w:tcPr>
          <w:p w14:paraId="417CA6D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0B207EF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24#磨口</w:t>
            </w:r>
          </w:p>
        </w:tc>
      </w:tr>
      <w:tr w14:paraId="35D9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33B93B6">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54</w:t>
            </w:r>
          </w:p>
        </w:tc>
        <w:tc>
          <w:tcPr>
            <w:tcW w:w="1870" w:type="pct"/>
            <w:shd w:val="clear" w:color="auto" w:fill="auto"/>
            <w:vAlign w:val="top"/>
          </w:tcPr>
          <w:p w14:paraId="5E74A04B">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eastAsia="zh"/>
                <w:woUserID w:val="5"/>
              </w:rPr>
              <w:t>球</w:t>
            </w:r>
            <w:r>
              <w:rPr>
                <w:rFonts w:hint="eastAsia" w:ascii="仿宋_GB2312" w:hAnsi="仿宋_GB2312" w:eastAsia="仿宋_GB2312" w:cs="仿宋_GB2312"/>
                <w:color w:val="auto"/>
                <w:sz w:val="32"/>
                <w:szCs w:val="32"/>
                <w:highlight w:val="none"/>
                <w:woUserID w:val="5"/>
              </w:rPr>
              <w:t>形冷凝管</w:t>
            </w:r>
          </w:p>
        </w:tc>
        <w:tc>
          <w:tcPr>
            <w:tcW w:w="1036" w:type="pct"/>
            <w:shd w:val="clear" w:color="auto" w:fill="auto"/>
            <w:vAlign w:val="top"/>
          </w:tcPr>
          <w:p w14:paraId="321E3DD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1只/选手</w:t>
            </w:r>
          </w:p>
        </w:tc>
        <w:tc>
          <w:tcPr>
            <w:tcW w:w="1547" w:type="pct"/>
            <w:shd w:val="clear" w:color="auto" w:fill="auto"/>
            <w:vAlign w:val="top"/>
          </w:tcPr>
          <w:p w14:paraId="29F2BA4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24#磨口</w:t>
            </w:r>
          </w:p>
        </w:tc>
      </w:tr>
      <w:tr w14:paraId="1491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F5407F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5</w:t>
            </w:r>
          </w:p>
        </w:tc>
        <w:tc>
          <w:tcPr>
            <w:tcW w:w="1870" w:type="pct"/>
            <w:shd w:val="clear" w:color="auto" w:fill="auto"/>
          </w:tcPr>
          <w:p w14:paraId="232B4C04">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真空尾接管</w:t>
            </w:r>
          </w:p>
        </w:tc>
        <w:tc>
          <w:tcPr>
            <w:tcW w:w="1036" w:type="pct"/>
            <w:shd w:val="clear" w:color="auto" w:fill="auto"/>
          </w:tcPr>
          <w:p w14:paraId="67B2703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746ABD1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24#磨口</w:t>
            </w:r>
          </w:p>
        </w:tc>
      </w:tr>
      <w:tr w14:paraId="31AB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1D9C97E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6</w:t>
            </w:r>
          </w:p>
        </w:tc>
        <w:tc>
          <w:tcPr>
            <w:tcW w:w="1870" w:type="pct"/>
            <w:shd w:val="clear" w:color="auto" w:fill="auto"/>
          </w:tcPr>
          <w:p w14:paraId="53932991">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分液漏斗</w:t>
            </w:r>
          </w:p>
        </w:tc>
        <w:tc>
          <w:tcPr>
            <w:tcW w:w="1036" w:type="pct"/>
            <w:shd w:val="clear" w:color="auto" w:fill="auto"/>
          </w:tcPr>
          <w:p w14:paraId="1F6D823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0FB7677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125mL</w:t>
            </w:r>
          </w:p>
        </w:tc>
      </w:tr>
      <w:tr w14:paraId="3609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45BCDD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7</w:t>
            </w:r>
          </w:p>
        </w:tc>
        <w:tc>
          <w:tcPr>
            <w:tcW w:w="1870" w:type="pct"/>
            <w:shd w:val="clear" w:color="auto" w:fill="auto"/>
          </w:tcPr>
          <w:p w14:paraId="3607FCD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三角漏斗</w:t>
            </w:r>
          </w:p>
        </w:tc>
        <w:tc>
          <w:tcPr>
            <w:tcW w:w="1036" w:type="pct"/>
            <w:shd w:val="clear" w:color="auto" w:fill="auto"/>
          </w:tcPr>
          <w:p w14:paraId="6A17A17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768526E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内径7cm</w:t>
            </w:r>
          </w:p>
        </w:tc>
      </w:tr>
      <w:tr w14:paraId="2721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78ECE6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8</w:t>
            </w:r>
          </w:p>
        </w:tc>
        <w:tc>
          <w:tcPr>
            <w:tcW w:w="1870" w:type="pct"/>
            <w:shd w:val="clear" w:color="auto" w:fill="auto"/>
          </w:tcPr>
          <w:p w14:paraId="6A2A1AA6">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具塞锥形瓶</w:t>
            </w:r>
          </w:p>
        </w:tc>
        <w:tc>
          <w:tcPr>
            <w:tcW w:w="1036" w:type="pct"/>
            <w:shd w:val="clear" w:color="auto" w:fill="auto"/>
          </w:tcPr>
          <w:p w14:paraId="6DFC16D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5"/>
              </w:rPr>
              <w:t>2</w:t>
            </w:r>
            <w:r>
              <w:rPr>
                <w:rFonts w:hint="eastAsia" w:ascii="仿宋_GB2312" w:hAnsi="仿宋_GB2312" w:eastAsia="仿宋_GB2312" w:cs="仿宋_GB2312"/>
                <w:color w:val="auto"/>
                <w:sz w:val="32"/>
                <w:szCs w:val="32"/>
                <w:highlight w:val="none"/>
              </w:rPr>
              <w:t>只/选手</w:t>
            </w:r>
          </w:p>
        </w:tc>
        <w:tc>
          <w:tcPr>
            <w:tcW w:w="1547" w:type="pct"/>
            <w:shd w:val="clear" w:color="auto" w:fill="auto"/>
          </w:tcPr>
          <w:p w14:paraId="54D4D54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50mL</w:t>
            </w:r>
          </w:p>
        </w:tc>
      </w:tr>
      <w:tr w14:paraId="2C19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FB2DF3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9</w:t>
            </w:r>
          </w:p>
        </w:tc>
        <w:tc>
          <w:tcPr>
            <w:tcW w:w="1870" w:type="pct"/>
            <w:shd w:val="clear" w:color="auto" w:fill="auto"/>
          </w:tcPr>
          <w:p w14:paraId="7A04C6D7">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温度计</w:t>
            </w:r>
          </w:p>
        </w:tc>
        <w:tc>
          <w:tcPr>
            <w:tcW w:w="1036" w:type="pct"/>
            <w:shd w:val="clear" w:color="auto" w:fill="auto"/>
          </w:tcPr>
          <w:p w14:paraId="477737D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1根/选手</w:t>
            </w:r>
          </w:p>
        </w:tc>
        <w:tc>
          <w:tcPr>
            <w:tcW w:w="1547" w:type="pct"/>
            <w:shd w:val="clear" w:color="auto" w:fill="auto"/>
          </w:tcPr>
          <w:p w14:paraId="3C4B95B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0-200℃</w:t>
            </w:r>
          </w:p>
        </w:tc>
      </w:tr>
      <w:tr w14:paraId="6EB2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DB70ED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60</w:t>
            </w:r>
          </w:p>
        </w:tc>
        <w:tc>
          <w:tcPr>
            <w:tcW w:w="1870" w:type="pct"/>
            <w:shd w:val="clear" w:color="auto" w:fill="auto"/>
          </w:tcPr>
          <w:p w14:paraId="09EAD76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温度计套管</w:t>
            </w:r>
          </w:p>
        </w:tc>
        <w:tc>
          <w:tcPr>
            <w:tcW w:w="1036" w:type="pct"/>
            <w:shd w:val="clear" w:color="auto" w:fill="auto"/>
          </w:tcPr>
          <w:p w14:paraId="20FF2FA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1只/选手</w:t>
            </w:r>
          </w:p>
        </w:tc>
        <w:tc>
          <w:tcPr>
            <w:tcW w:w="1547" w:type="pct"/>
            <w:shd w:val="clear" w:color="auto" w:fill="auto"/>
          </w:tcPr>
          <w:p w14:paraId="3B85169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24#磨口</w:t>
            </w:r>
          </w:p>
        </w:tc>
      </w:tr>
      <w:tr w14:paraId="2F21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401F8A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61</w:t>
            </w:r>
          </w:p>
        </w:tc>
        <w:tc>
          <w:tcPr>
            <w:tcW w:w="1870" w:type="pct"/>
            <w:shd w:val="clear" w:color="auto" w:fill="auto"/>
          </w:tcPr>
          <w:p w14:paraId="258D4AC6">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玻璃塞</w:t>
            </w:r>
          </w:p>
        </w:tc>
        <w:tc>
          <w:tcPr>
            <w:tcW w:w="1036" w:type="pct"/>
            <w:shd w:val="clear" w:color="auto" w:fill="auto"/>
          </w:tcPr>
          <w:p w14:paraId="6390CA9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5"/>
              </w:rPr>
              <w:t>3</w:t>
            </w:r>
            <w:r>
              <w:rPr>
                <w:rFonts w:hint="eastAsia" w:ascii="仿宋_GB2312" w:hAnsi="仿宋_GB2312" w:eastAsia="仿宋_GB2312" w:cs="仿宋_GB2312"/>
                <w:color w:val="auto"/>
                <w:sz w:val="32"/>
                <w:szCs w:val="32"/>
                <w:highlight w:val="none"/>
              </w:rPr>
              <w:t>个/选手</w:t>
            </w:r>
          </w:p>
        </w:tc>
        <w:tc>
          <w:tcPr>
            <w:tcW w:w="1547" w:type="pct"/>
            <w:shd w:val="clear" w:color="auto" w:fill="auto"/>
          </w:tcPr>
          <w:p w14:paraId="73981D5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24#磨口</w:t>
            </w:r>
          </w:p>
        </w:tc>
      </w:tr>
      <w:tr w14:paraId="2EB1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30032F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62</w:t>
            </w:r>
          </w:p>
        </w:tc>
        <w:tc>
          <w:tcPr>
            <w:tcW w:w="1870" w:type="pct"/>
            <w:shd w:val="clear" w:color="auto" w:fill="auto"/>
          </w:tcPr>
          <w:p w14:paraId="6B31230A">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玻璃仪器连接夹</w:t>
            </w:r>
          </w:p>
        </w:tc>
        <w:tc>
          <w:tcPr>
            <w:tcW w:w="1036" w:type="pct"/>
            <w:shd w:val="clear" w:color="auto" w:fill="auto"/>
          </w:tcPr>
          <w:p w14:paraId="12F47E0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3个/选手</w:t>
            </w:r>
          </w:p>
        </w:tc>
        <w:tc>
          <w:tcPr>
            <w:tcW w:w="1547" w:type="pct"/>
            <w:shd w:val="clear" w:color="auto" w:fill="auto"/>
          </w:tcPr>
          <w:p w14:paraId="56C00E3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15A0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52DFD04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63</w:t>
            </w:r>
          </w:p>
        </w:tc>
        <w:tc>
          <w:tcPr>
            <w:tcW w:w="1870" w:type="pct"/>
            <w:shd w:val="clear" w:color="auto" w:fill="auto"/>
          </w:tcPr>
          <w:p w14:paraId="15EE446C">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沸石</w:t>
            </w:r>
          </w:p>
        </w:tc>
        <w:tc>
          <w:tcPr>
            <w:tcW w:w="1036" w:type="pct"/>
            <w:shd w:val="clear" w:color="auto" w:fill="auto"/>
          </w:tcPr>
          <w:p w14:paraId="3F45BED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tcPr>
          <w:p w14:paraId="4D9A3C9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109F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DE7F26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64</w:t>
            </w:r>
          </w:p>
        </w:tc>
        <w:tc>
          <w:tcPr>
            <w:tcW w:w="1870" w:type="pct"/>
            <w:shd w:val="clear" w:color="auto" w:fill="auto"/>
          </w:tcPr>
          <w:p w14:paraId="30434E7D">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滴瓶</w:t>
            </w:r>
          </w:p>
        </w:tc>
        <w:tc>
          <w:tcPr>
            <w:tcW w:w="1036" w:type="pct"/>
            <w:shd w:val="clear" w:color="auto" w:fill="auto"/>
          </w:tcPr>
          <w:p w14:paraId="5B08667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tcPr>
          <w:p w14:paraId="4676E5D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30mL，白色</w:t>
            </w:r>
          </w:p>
        </w:tc>
      </w:tr>
      <w:tr w14:paraId="02D1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5BE59C4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65</w:t>
            </w:r>
          </w:p>
        </w:tc>
        <w:tc>
          <w:tcPr>
            <w:tcW w:w="1870" w:type="pct"/>
            <w:shd w:val="clear" w:color="auto" w:fill="auto"/>
          </w:tcPr>
          <w:p w14:paraId="4F1290EB">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滴瓶</w:t>
            </w:r>
          </w:p>
        </w:tc>
        <w:tc>
          <w:tcPr>
            <w:tcW w:w="1036" w:type="pct"/>
            <w:shd w:val="clear" w:color="auto" w:fill="auto"/>
          </w:tcPr>
          <w:p w14:paraId="328C283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tcPr>
          <w:p w14:paraId="0D7D049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30mL，棕色</w:t>
            </w:r>
          </w:p>
        </w:tc>
      </w:tr>
      <w:tr w14:paraId="66C2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BEAF37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66</w:t>
            </w:r>
          </w:p>
        </w:tc>
        <w:tc>
          <w:tcPr>
            <w:tcW w:w="1870" w:type="pct"/>
            <w:shd w:val="clear" w:color="auto" w:fill="auto"/>
            <w:vAlign w:val="top"/>
          </w:tcPr>
          <w:p w14:paraId="76A44B3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试剂瓶</w:t>
            </w:r>
          </w:p>
        </w:tc>
        <w:tc>
          <w:tcPr>
            <w:tcW w:w="1036" w:type="pct"/>
            <w:shd w:val="clear" w:color="auto" w:fill="auto"/>
            <w:vAlign w:val="top"/>
          </w:tcPr>
          <w:p w14:paraId="4CC5BDE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vAlign w:val="top"/>
          </w:tcPr>
          <w:p w14:paraId="2FAF1F0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00mL，</w:t>
            </w:r>
            <w:r>
              <w:rPr>
                <w:rFonts w:hint="eastAsia" w:ascii="仿宋_GB2312" w:hAnsi="仿宋_GB2312" w:eastAsia="仿宋_GB2312" w:cs="仿宋_GB2312"/>
                <w:color w:val="auto"/>
                <w:sz w:val="32"/>
                <w:szCs w:val="32"/>
                <w:highlight w:val="none"/>
                <w:lang w:val="en-US" w:eastAsia="zh-CN"/>
              </w:rPr>
              <w:t>白</w:t>
            </w:r>
            <w:r>
              <w:rPr>
                <w:rFonts w:hint="eastAsia" w:ascii="仿宋_GB2312" w:hAnsi="仿宋_GB2312" w:eastAsia="仿宋_GB2312" w:cs="仿宋_GB2312"/>
                <w:color w:val="auto"/>
                <w:sz w:val="32"/>
                <w:szCs w:val="32"/>
                <w:highlight w:val="none"/>
              </w:rPr>
              <w:t>色</w:t>
            </w:r>
          </w:p>
        </w:tc>
      </w:tr>
      <w:tr w14:paraId="4328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49C15C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67</w:t>
            </w:r>
          </w:p>
        </w:tc>
        <w:tc>
          <w:tcPr>
            <w:tcW w:w="1870" w:type="pct"/>
            <w:shd w:val="clear" w:color="auto" w:fill="auto"/>
          </w:tcPr>
          <w:p w14:paraId="30445E5B">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试剂瓶</w:t>
            </w:r>
          </w:p>
        </w:tc>
        <w:tc>
          <w:tcPr>
            <w:tcW w:w="1036" w:type="pct"/>
            <w:shd w:val="clear" w:color="auto" w:fill="auto"/>
            <w:vAlign w:val="top"/>
          </w:tcPr>
          <w:p w14:paraId="36DCEA9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vAlign w:val="top"/>
          </w:tcPr>
          <w:p w14:paraId="4D1B0DD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00mL，</w:t>
            </w:r>
            <w:r>
              <w:rPr>
                <w:rFonts w:hint="eastAsia" w:ascii="仿宋_GB2312" w:hAnsi="仿宋_GB2312" w:eastAsia="仿宋_GB2312" w:cs="仿宋_GB2312"/>
                <w:color w:val="auto"/>
                <w:sz w:val="32"/>
                <w:szCs w:val="32"/>
                <w:highlight w:val="none"/>
                <w:lang w:val="en-US" w:eastAsia="zh-CN"/>
              </w:rPr>
              <w:t>白</w:t>
            </w:r>
            <w:r>
              <w:rPr>
                <w:rFonts w:hint="eastAsia" w:ascii="仿宋_GB2312" w:hAnsi="仿宋_GB2312" w:eastAsia="仿宋_GB2312" w:cs="仿宋_GB2312"/>
                <w:color w:val="auto"/>
                <w:sz w:val="32"/>
                <w:szCs w:val="32"/>
                <w:highlight w:val="none"/>
              </w:rPr>
              <w:t>色</w:t>
            </w:r>
          </w:p>
        </w:tc>
      </w:tr>
      <w:tr w14:paraId="6AA2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32E64C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68</w:t>
            </w:r>
          </w:p>
        </w:tc>
        <w:tc>
          <w:tcPr>
            <w:tcW w:w="1870" w:type="pct"/>
            <w:shd w:val="clear" w:color="auto" w:fill="auto"/>
            <w:vAlign w:val="top"/>
          </w:tcPr>
          <w:p w14:paraId="4BB683F3">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试剂瓶</w:t>
            </w:r>
          </w:p>
        </w:tc>
        <w:tc>
          <w:tcPr>
            <w:tcW w:w="1036" w:type="pct"/>
            <w:shd w:val="clear" w:color="auto" w:fill="auto"/>
            <w:vAlign w:val="top"/>
          </w:tcPr>
          <w:p w14:paraId="560C06E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vAlign w:val="top"/>
          </w:tcPr>
          <w:p w14:paraId="7246C29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500mL，</w:t>
            </w:r>
            <w:r>
              <w:rPr>
                <w:rFonts w:hint="eastAsia" w:ascii="仿宋_GB2312" w:hAnsi="仿宋_GB2312" w:eastAsia="仿宋_GB2312" w:cs="仿宋_GB2312"/>
                <w:color w:val="auto"/>
                <w:sz w:val="32"/>
                <w:szCs w:val="32"/>
                <w:highlight w:val="none"/>
                <w:lang w:val="en-US" w:eastAsia="zh-CN"/>
              </w:rPr>
              <w:t>白</w:t>
            </w:r>
            <w:r>
              <w:rPr>
                <w:rFonts w:hint="eastAsia" w:ascii="仿宋_GB2312" w:hAnsi="仿宋_GB2312" w:eastAsia="仿宋_GB2312" w:cs="仿宋_GB2312"/>
                <w:color w:val="auto"/>
                <w:sz w:val="32"/>
                <w:szCs w:val="32"/>
                <w:highlight w:val="none"/>
              </w:rPr>
              <w:t>色</w:t>
            </w:r>
          </w:p>
        </w:tc>
      </w:tr>
      <w:tr w14:paraId="3CF7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B38C3B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69</w:t>
            </w:r>
          </w:p>
        </w:tc>
        <w:tc>
          <w:tcPr>
            <w:tcW w:w="1870" w:type="pct"/>
            <w:shd w:val="clear" w:color="auto" w:fill="auto"/>
          </w:tcPr>
          <w:p w14:paraId="34E133AC">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试剂瓶</w:t>
            </w:r>
          </w:p>
        </w:tc>
        <w:tc>
          <w:tcPr>
            <w:tcW w:w="1036" w:type="pct"/>
            <w:shd w:val="clear" w:color="auto" w:fill="auto"/>
          </w:tcPr>
          <w:p w14:paraId="21C231F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tcPr>
          <w:p w14:paraId="7BB406F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500mL，棕色</w:t>
            </w:r>
          </w:p>
        </w:tc>
      </w:tr>
      <w:tr w14:paraId="362C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7E7E55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70</w:t>
            </w:r>
          </w:p>
        </w:tc>
        <w:tc>
          <w:tcPr>
            <w:tcW w:w="1870" w:type="pct"/>
            <w:shd w:val="clear" w:color="auto" w:fill="auto"/>
          </w:tcPr>
          <w:p w14:paraId="23D9CB96">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试剂瓶</w:t>
            </w:r>
          </w:p>
        </w:tc>
        <w:tc>
          <w:tcPr>
            <w:tcW w:w="1036" w:type="pct"/>
            <w:shd w:val="clear" w:color="auto" w:fill="auto"/>
          </w:tcPr>
          <w:p w14:paraId="1216E96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tcPr>
          <w:p w14:paraId="4B1C080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250mL，白色</w:t>
            </w:r>
          </w:p>
        </w:tc>
      </w:tr>
      <w:tr w14:paraId="1976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9ACAA1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71</w:t>
            </w:r>
          </w:p>
        </w:tc>
        <w:tc>
          <w:tcPr>
            <w:tcW w:w="1870" w:type="pct"/>
            <w:shd w:val="clear" w:color="auto" w:fill="auto"/>
          </w:tcPr>
          <w:p w14:paraId="181E94CD">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试剂瓶</w:t>
            </w:r>
          </w:p>
        </w:tc>
        <w:tc>
          <w:tcPr>
            <w:tcW w:w="1036" w:type="pct"/>
            <w:shd w:val="clear" w:color="auto" w:fill="auto"/>
          </w:tcPr>
          <w:p w14:paraId="34AD0F2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tcPr>
          <w:p w14:paraId="5603F79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250mL，棕色</w:t>
            </w:r>
          </w:p>
        </w:tc>
      </w:tr>
      <w:tr w14:paraId="29A0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839277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72</w:t>
            </w:r>
          </w:p>
        </w:tc>
        <w:tc>
          <w:tcPr>
            <w:tcW w:w="1870" w:type="pct"/>
            <w:shd w:val="clear" w:color="auto" w:fill="auto"/>
          </w:tcPr>
          <w:p w14:paraId="614BB044">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试剂瓶</w:t>
            </w:r>
          </w:p>
        </w:tc>
        <w:tc>
          <w:tcPr>
            <w:tcW w:w="1036" w:type="pct"/>
            <w:shd w:val="clear" w:color="auto" w:fill="auto"/>
          </w:tcPr>
          <w:p w14:paraId="282B649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tcPr>
          <w:p w14:paraId="0B982B0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rPr>
              <w:t>mL，白色</w:t>
            </w:r>
          </w:p>
        </w:tc>
      </w:tr>
      <w:tr w14:paraId="66CD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C35D56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73</w:t>
            </w:r>
          </w:p>
        </w:tc>
        <w:tc>
          <w:tcPr>
            <w:tcW w:w="1870" w:type="pct"/>
            <w:shd w:val="clear" w:color="auto" w:fill="auto"/>
          </w:tcPr>
          <w:p w14:paraId="47CBEEFB">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试剂瓶</w:t>
            </w:r>
          </w:p>
        </w:tc>
        <w:tc>
          <w:tcPr>
            <w:tcW w:w="1036" w:type="pct"/>
            <w:shd w:val="clear" w:color="auto" w:fill="auto"/>
          </w:tcPr>
          <w:p w14:paraId="08DCC1E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tcPr>
          <w:p w14:paraId="4C1BB87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rPr>
              <w:t>mL，棕色</w:t>
            </w:r>
          </w:p>
        </w:tc>
      </w:tr>
      <w:tr w14:paraId="3C5D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EC6242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74</w:t>
            </w:r>
          </w:p>
        </w:tc>
        <w:tc>
          <w:tcPr>
            <w:tcW w:w="1870" w:type="pct"/>
            <w:shd w:val="clear" w:color="auto" w:fill="auto"/>
          </w:tcPr>
          <w:p w14:paraId="5855F22E">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仿宋_GB2312" w:eastAsia="仿宋_GB2312" w:cs="仿宋_GB2312"/>
                <w:color w:val="auto"/>
                <w:sz w:val="32"/>
                <w:szCs w:val="32"/>
                <w:highlight w:val="none"/>
                <w:lang w:eastAsia="zh"/>
                <w:woUserID w:val="5"/>
              </w:rPr>
            </w:pPr>
            <w:r>
              <w:rPr>
                <w:rFonts w:hint="eastAsia" w:ascii="仿宋_GB2312" w:hAnsi="仿宋_GB2312" w:eastAsia="仿宋_GB2312" w:cs="仿宋_GB2312"/>
                <w:color w:val="auto"/>
                <w:sz w:val="32"/>
                <w:szCs w:val="32"/>
                <w:highlight w:val="none"/>
                <w:lang w:eastAsia="zh"/>
                <w:woUserID w:val="5"/>
              </w:rPr>
              <w:t>广口瓶</w:t>
            </w:r>
          </w:p>
        </w:tc>
        <w:tc>
          <w:tcPr>
            <w:tcW w:w="1036" w:type="pct"/>
            <w:shd w:val="clear" w:color="auto" w:fill="auto"/>
          </w:tcPr>
          <w:p w14:paraId="6562DC48">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woUserID w:val="5"/>
              </w:rPr>
              <w:t>1个</w:t>
            </w:r>
            <w:r>
              <w:rPr>
                <w:rFonts w:hint="eastAsia" w:ascii="仿宋_GB2312" w:hAnsi="仿宋_GB2312" w:eastAsia="仿宋_GB2312" w:cs="仿宋_GB2312"/>
                <w:color w:val="auto"/>
                <w:sz w:val="32"/>
                <w:szCs w:val="32"/>
                <w:highlight w:val="none"/>
                <w:woUserID w:val="5"/>
              </w:rPr>
              <w:t>/选手</w:t>
            </w:r>
          </w:p>
        </w:tc>
        <w:tc>
          <w:tcPr>
            <w:tcW w:w="1547" w:type="pct"/>
            <w:shd w:val="clear" w:color="auto" w:fill="auto"/>
          </w:tcPr>
          <w:p w14:paraId="6A51F0EE">
            <w:pPr>
              <w:keepNext w:val="0"/>
              <w:keepLines w:val="0"/>
              <w:pageBreakBefore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_GB2312" w:hAnsi="仿宋_GB2312" w:eastAsia="仿宋_GB2312" w:cs="仿宋_GB2312"/>
                <w:color w:val="auto"/>
                <w:sz w:val="32"/>
                <w:szCs w:val="32"/>
                <w:highlight w:val="none"/>
                <w:lang w:eastAsia="zh"/>
                <w:woUserID w:val="5"/>
              </w:rPr>
            </w:pPr>
            <w:r>
              <w:rPr>
                <w:rFonts w:hint="eastAsia" w:ascii="仿宋_GB2312" w:hAnsi="仿宋_GB2312" w:eastAsia="仿宋_GB2312" w:cs="仿宋_GB2312"/>
                <w:color w:val="auto"/>
                <w:sz w:val="32"/>
                <w:szCs w:val="32"/>
                <w:highlight w:val="none"/>
                <w:lang w:eastAsia="zh"/>
                <w:woUserID w:val="5"/>
              </w:rPr>
              <w:t>60</w:t>
            </w:r>
            <w:r>
              <w:rPr>
                <w:rFonts w:hint="eastAsia" w:ascii="仿宋_GB2312" w:hAnsi="仿宋_GB2312" w:eastAsia="仿宋_GB2312" w:cs="仿宋_GB2312"/>
                <w:color w:val="auto"/>
                <w:sz w:val="32"/>
                <w:szCs w:val="32"/>
                <w:highlight w:val="none"/>
                <w:woUserID w:val="5"/>
              </w:rPr>
              <w:t>mL，白色</w:t>
            </w:r>
          </w:p>
        </w:tc>
      </w:tr>
      <w:tr w14:paraId="1CE0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15329B9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75</w:t>
            </w:r>
          </w:p>
        </w:tc>
        <w:tc>
          <w:tcPr>
            <w:tcW w:w="1870" w:type="pct"/>
            <w:shd w:val="clear" w:color="auto" w:fill="auto"/>
          </w:tcPr>
          <w:p w14:paraId="41B81F75">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周转盒</w:t>
            </w:r>
          </w:p>
        </w:tc>
        <w:tc>
          <w:tcPr>
            <w:tcW w:w="1036" w:type="pct"/>
            <w:shd w:val="clear" w:color="auto" w:fill="auto"/>
          </w:tcPr>
          <w:p w14:paraId="3DA9FE9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10B75EA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6816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EA2D1B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76</w:t>
            </w:r>
          </w:p>
        </w:tc>
        <w:tc>
          <w:tcPr>
            <w:tcW w:w="1870" w:type="pct"/>
            <w:shd w:val="clear" w:color="auto" w:fill="auto"/>
          </w:tcPr>
          <w:p w14:paraId="0F1F4BB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乳胶管</w:t>
            </w:r>
          </w:p>
        </w:tc>
        <w:tc>
          <w:tcPr>
            <w:tcW w:w="1036" w:type="pct"/>
            <w:shd w:val="clear" w:color="auto" w:fill="auto"/>
          </w:tcPr>
          <w:p w14:paraId="61DBB11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2根/选手</w:t>
            </w:r>
          </w:p>
        </w:tc>
        <w:tc>
          <w:tcPr>
            <w:tcW w:w="1547" w:type="pct"/>
            <w:shd w:val="clear" w:color="auto" w:fill="auto"/>
          </w:tcPr>
          <w:p w14:paraId="14F87BD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内径5mm，外径9mm</w:t>
            </w:r>
          </w:p>
        </w:tc>
      </w:tr>
      <w:tr w14:paraId="50BE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36E951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77</w:t>
            </w:r>
          </w:p>
        </w:tc>
        <w:tc>
          <w:tcPr>
            <w:tcW w:w="1870" w:type="pct"/>
            <w:shd w:val="clear" w:color="auto" w:fill="auto"/>
          </w:tcPr>
          <w:p w14:paraId="005BCD0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塑料滴管</w:t>
            </w:r>
          </w:p>
        </w:tc>
        <w:tc>
          <w:tcPr>
            <w:tcW w:w="1036" w:type="pct"/>
            <w:shd w:val="clear" w:color="auto" w:fill="auto"/>
          </w:tcPr>
          <w:p w14:paraId="7D4295B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若干/选手</w:t>
            </w:r>
          </w:p>
        </w:tc>
        <w:tc>
          <w:tcPr>
            <w:tcW w:w="1547" w:type="pct"/>
            <w:shd w:val="clear" w:color="auto" w:fill="auto"/>
          </w:tcPr>
          <w:p w14:paraId="291B1B1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3mL</w:t>
            </w:r>
          </w:p>
        </w:tc>
      </w:tr>
      <w:tr w14:paraId="0569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1A36BFF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78</w:t>
            </w:r>
          </w:p>
        </w:tc>
        <w:tc>
          <w:tcPr>
            <w:tcW w:w="1870" w:type="pct"/>
            <w:shd w:val="clear" w:color="auto" w:fill="auto"/>
          </w:tcPr>
          <w:p w14:paraId="15FCE91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药匙</w:t>
            </w:r>
          </w:p>
        </w:tc>
        <w:tc>
          <w:tcPr>
            <w:tcW w:w="1036" w:type="pct"/>
            <w:shd w:val="clear" w:color="auto" w:fill="auto"/>
          </w:tcPr>
          <w:p w14:paraId="370F098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只/选手</w:t>
            </w:r>
          </w:p>
        </w:tc>
        <w:tc>
          <w:tcPr>
            <w:tcW w:w="1547" w:type="pct"/>
            <w:shd w:val="clear" w:color="auto" w:fill="auto"/>
          </w:tcPr>
          <w:p w14:paraId="27E3831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不锈钢，12cm</w:t>
            </w:r>
          </w:p>
        </w:tc>
      </w:tr>
      <w:tr w14:paraId="55CC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3F403AF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79</w:t>
            </w:r>
          </w:p>
        </w:tc>
        <w:tc>
          <w:tcPr>
            <w:tcW w:w="1870" w:type="pct"/>
            <w:shd w:val="clear" w:color="auto" w:fill="auto"/>
          </w:tcPr>
          <w:p w14:paraId="400578A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棉花</w:t>
            </w:r>
          </w:p>
        </w:tc>
        <w:tc>
          <w:tcPr>
            <w:tcW w:w="1036" w:type="pct"/>
            <w:shd w:val="clear" w:color="auto" w:fill="auto"/>
          </w:tcPr>
          <w:p w14:paraId="5926DA5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1团/选手</w:t>
            </w:r>
          </w:p>
        </w:tc>
        <w:tc>
          <w:tcPr>
            <w:tcW w:w="1547" w:type="pct"/>
            <w:shd w:val="clear" w:color="auto" w:fill="auto"/>
          </w:tcPr>
          <w:p w14:paraId="23BAC25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599D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7E3573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80</w:t>
            </w:r>
          </w:p>
        </w:tc>
        <w:tc>
          <w:tcPr>
            <w:tcW w:w="1870" w:type="pct"/>
            <w:shd w:val="clear" w:color="auto" w:fill="auto"/>
          </w:tcPr>
          <w:p w14:paraId="5F72F8E8">
            <w:pPr>
              <w:keepNext w:val="0"/>
              <w:keepLines w:val="0"/>
              <w:pageBreakBefore w:val="0"/>
              <w:kinsoku/>
              <w:wordWrap/>
              <w:overflowPunct/>
              <w:topLinePunct w:val="0"/>
              <w:autoSpaceDE/>
              <w:autoSpaceDN/>
              <w:bidi w:val="0"/>
              <w:adjustRightInd/>
              <w:snapToGrid/>
              <w:spacing w:line="600" w:lineRule="exact"/>
              <w:ind w:right="221"/>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一次性头套</w:t>
            </w:r>
          </w:p>
        </w:tc>
        <w:tc>
          <w:tcPr>
            <w:tcW w:w="1036" w:type="pct"/>
            <w:shd w:val="clear" w:color="auto" w:fill="auto"/>
          </w:tcPr>
          <w:p w14:paraId="3A560E7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10只/选手</w:t>
            </w:r>
          </w:p>
        </w:tc>
        <w:tc>
          <w:tcPr>
            <w:tcW w:w="1547" w:type="pct"/>
            <w:shd w:val="clear" w:color="auto" w:fill="auto"/>
          </w:tcPr>
          <w:p w14:paraId="4BE69240">
            <w:pPr>
              <w:keepNext w:val="0"/>
              <w:keepLines w:val="0"/>
              <w:pageBreakBefore w:val="0"/>
              <w:kinsoku/>
              <w:wordWrap/>
              <w:overflowPunct/>
              <w:topLinePunct w:val="0"/>
              <w:autoSpaceDE/>
              <w:autoSpaceDN/>
              <w:bidi w:val="0"/>
              <w:adjustRightInd/>
              <w:snapToGrid/>
              <w:spacing w:line="600" w:lineRule="exact"/>
              <w:ind w:firstLine="1280" w:firstLineChars="400"/>
              <w:jc w:val="center"/>
              <w:textAlignment w:val="auto"/>
              <w:rPr>
                <w:rFonts w:hint="eastAsia" w:ascii="仿宋_GB2312" w:hAnsi="仿宋_GB2312" w:eastAsia="仿宋_GB2312" w:cs="仿宋_GB2312"/>
                <w:color w:val="auto"/>
                <w:sz w:val="32"/>
                <w:szCs w:val="32"/>
                <w:highlight w:val="none"/>
              </w:rPr>
            </w:pPr>
          </w:p>
        </w:tc>
      </w:tr>
      <w:tr w14:paraId="3176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543D1C6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81</w:t>
            </w:r>
          </w:p>
        </w:tc>
        <w:tc>
          <w:tcPr>
            <w:tcW w:w="1870" w:type="pct"/>
            <w:shd w:val="clear" w:color="auto" w:fill="auto"/>
          </w:tcPr>
          <w:p w14:paraId="5F550D2C">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一次性丁腈手套</w:t>
            </w:r>
          </w:p>
        </w:tc>
        <w:tc>
          <w:tcPr>
            <w:tcW w:w="1036" w:type="pct"/>
            <w:shd w:val="clear" w:color="auto" w:fill="auto"/>
          </w:tcPr>
          <w:p w14:paraId="307DB13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10双/选手</w:t>
            </w:r>
          </w:p>
        </w:tc>
        <w:tc>
          <w:tcPr>
            <w:tcW w:w="1547" w:type="pct"/>
            <w:shd w:val="clear" w:color="auto" w:fill="auto"/>
          </w:tcPr>
          <w:p w14:paraId="514729AC">
            <w:pPr>
              <w:keepNext w:val="0"/>
              <w:keepLines w:val="0"/>
              <w:pageBreakBefore w:val="0"/>
              <w:kinsoku/>
              <w:wordWrap/>
              <w:overflowPunct/>
              <w:topLinePunct w:val="0"/>
              <w:autoSpaceDE/>
              <w:autoSpaceDN/>
              <w:bidi w:val="0"/>
              <w:adjustRightInd/>
              <w:snapToGrid/>
              <w:spacing w:line="600" w:lineRule="exact"/>
              <w:ind w:firstLine="1280" w:firstLineChars="400"/>
              <w:jc w:val="center"/>
              <w:textAlignment w:val="auto"/>
              <w:rPr>
                <w:rFonts w:hint="eastAsia" w:ascii="仿宋_GB2312" w:hAnsi="仿宋_GB2312" w:eastAsia="仿宋_GB2312" w:cs="仿宋_GB2312"/>
                <w:color w:val="auto"/>
                <w:sz w:val="32"/>
                <w:szCs w:val="32"/>
                <w:highlight w:val="none"/>
              </w:rPr>
            </w:pPr>
          </w:p>
        </w:tc>
      </w:tr>
      <w:tr w14:paraId="2E6C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573C1A2C">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82</w:t>
            </w:r>
          </w:p>
        </w:tc>
        <w:tc>
          <w:tcPr>
            <w:tcW w:w="1870" w:type="pct"/>
            <w:shd w:val="clear" w:color="auto" w:fill="auto"/>
          </w:tcPr>
          <w:p w14:paraId="293760E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长袖耐酸碱橡胶手套</w:t>
            </w:r>
          </w:p>
        </w:tc>
        <w:tc>
          <w:tcPr>
            <w:tcW w:w="1036" w:type="pct"/>
            <w:shd w:val="clear" w:color="auto" w:fill="auto"/>
          </w:tcPr>
          <w:p w14:paraId="4ACAA4C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1双/选手</w:t>
            </w:r>
          </w:p>
        </w:tc>
        <w:tc>
          <w:tcPr>
            <w:tcW w:w="1547" w:type="pct"/>
            <w:shd w:val="clear" w:color="auto" w:fill="auto"/>
          </w:tcPr>
          <w:p w14:paraId="08D2B84E">
            <w:pPr>
              <w:keepNext w:val="0"/>
              <w:keepLines w:val="0"/>
              <w:pageBreakBefore w:val="0"/>
              <w:kinsoku/>
              <w:wordWrap/>
              <w:overflowPunct/>
              <w:topLinePunct w:val="0"/>
              <w:autoSpaceDE/>
              <w:autoSpaceDN/>
              <w:bidi w:val="0"/>
              <w:adjustRightInd/>
              <w:snapToGrid/>
              <w:spacing w:line="600" w:lineRule="exact"/>
              <w:ind w:firstLine="1280" w:firstLineChars="400"/>
              <w:jc w:val="center"/>
              <w:textAlignment w:val="auto"/>
              <w:rPr>
                <w:rFonts w:hint="eastAsia" w:ascii="仿宋_GB2312" w:hAnsi="仿宋_GB2312" w:eastAsia="仿宋_GB2312" w:cs="仿宋_GB2312"/>
                <w:color w:val="auto"/>
                <w:sz w:val="32"/>
                <w:szCs w:val="32"/>
                <w:highlight w:val="none"/>
              </w:rPr>
            </w:pPr>
          </w:p>
        </w:tc>
      </w:tr>
      <w:tr w14:paraId="0EFA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89C0A0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83</w:t>
            </w:r>
          </w:p>
        </w:tc>
        <w:tc>
          <w:tcPr>
            <w:tcW w:w="1870" w:type="pct"/>
            <w:shd w:val="clear" w:color="auto" w:fill="auto"/>
          </w:tcPr>
          <w:p w14:paraId="35B9877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一次性防护口罩</w:t>
            </w:r>
          </w:p>
        </w:tc>
        <w:tc>
          <w:tcPr>
            <w:tcW w:w="1036" w:type="pct"/>
            <w:shd w:val="clear" w:color="auto" w:fill="auto"/>
          </w:tcPr>
          <w:p w14:paraId="78C5E95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10个/选手</w:t>
            </w:r>
          </w:p>
        </w:tc>
        <w:tc>
          <w:tcPr>
            <w:tcW w:w="1547" w:type="pct"/>
            <w:shd w:val="clear" w:color="auto" w:fill="auto"/>
          </w:tcPr>
          <w:p w14:paraId="48559BE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1DCB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0C9AB70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5</w:t>
            </w:r>
          </w:p>
        </w:tc>
        <w:tc>
          <w:tcPr>
            <w:tcW w:w="1870" w:type="pct"/>
            <w:shd w:val="clear" w:color="auto" w:fill="auto"/>
          </w:tcPr>
          <w:p w14:paraId="17B1E09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隔热手套 </w:t>
            </w:r>
          </w:p>
        </w:tc>
        <w:tc>
          <w:tcPr>
            <w:tcW w:w="1036" w:type="pct"/>
            <w:shd w:val="clear" w:color="auto" w:fill="auto"/>
          </w:tcPr>
          <w:p w14:paraId="7593531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1双/选手</w:t>
            </w:r>
          </w:p>
        </w:tc>
        <w:tc>
          <w:tcPr>
            <w:tcW w:w="1547" w:type="pct"/>
            <w:shd w:val="clear" w:color="auto" w:fill="auto"/>
          </w:tcPr>
          <w:p w14:paraId="15D60B4B">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2A38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421C7DA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86</w:t>
            </w:r>
          </w:p>
        </w:tc>
        <w:tc>
          <w:tcPr>
            <w:tcW w:w="1870" w:type="pct"/>
            <w:shd w:val="clear" w:color="auto" w:fill="auto"/>
          </w:tcPr>
          <w:p w14:paraId="018ADF7B">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称量用白纱手套</w:t>
            </w:r>
          </w:p>
        </w:tc>
        <w:tc>
          <w:tcPr>
            <w:tcW w:w="1036" w:type="pct"/>
            <w:shd w:val="clear" w:color="auto" w:fill="auto"/>
          </w:tcPr>
          <w:p w14:paraId="2AD29A73">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5双/选手</w:t>
            </w:r>
          </w:p>
        </w:tc>
        <w:tc>
          <w:tcPr>
            <w:tcW w:w="1547" w:type="pct"/>
            <w:shd w:val="clear" w:color="auto" w:fill="auto"/>
          </w:tcPr>
          <w:p w14:paraId="36422E9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6714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7C2C21C5">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87</w:t>
            </w:r>
          </w:p>
        </w:tc>
        <w:tc>
          <w:tcPr>
            <w:tcW w:w="1870" w:type="pct"/>
            <w:shd w:val="clear" w:color="auto" w:fill="auto"/>
          </w:tcPr>
          <w:p w14:paraId="5C8E92C0">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护目镜</w:t>
            </w:r>
          </w:p>
        </w:tc>
        <w:tc>
          <w:tcPr>
            <w:tcW w:w="1036" w:type="pct"/>
            <w:shd w:val="clear" w:color="auto" w:fill="auto"/>
          </w:tcPr>
          <w:p w14:paraId="0D6246C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1个/选手</w:t>
            </w:r>
          </w:p>
        </w:tc>
        <w:tc>
          <w:tcPr>
            <w:tcW w:w="1547" w:type="pct"/>
            <w:shd w:val="clear" w:color="auto" w:fill="auto"/>
          </w:tcPr>
          <w:p w14:paraId="253A285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p>
        </w:tc>
      </w:tr>
      <w:tr w14:paraId="3C51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2CC15D7D">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88</w:t>
            </w:r>
          </w:p>
        </w:tc>
        <w:tc>
          <w:tcPr>
            <w:tcW w:w="1870" w:type="pct"/>
            <w:shd w:val="clear" w:color="auto" w:fill="auto"/>
          </w:tcPr>
          <w:p w14:paraId="54135D68">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废液杯</w:t>
            </w:r>
          </w:p>
        </w:tc>
        <w:tc>
          <w:tcPr>
            <w:tcW w:w="1036" w:type="pct"/>
            <w:shd w:val="clear" w:color="auto" w:fill="auto"/>
          </w:tcPr>
          <w:p w14:paraId="597A453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2只/选手</w:t>
            </w:r>
          </w:p>
        </w:tc>
        <w:tc>
          <w:tcPr>
            <w:tcW w:w="1547" w:type="pct"/>
            <w:shd w:val="clear" w:color="auto" w:fill="auto"/>
          </w:tcPr>
          <w:p w14:paraId="4F955D14">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1000mL</w:t>
            </w:r>
          </w:p>
        </w:tc>
      </w:tr>
      <w:tr w14:paraId="1576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vAlign w:val="top"/>
          </w:tcPr>
          <w:p w14:paraId="6901DD63">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89</w:t>
            </w:r>
          </w:p>
        </w:tc>
        <w:tc>
          <w:tcPr>
            <w:tcW w:w="1870" w:type="pct"/>
            <w:shd w:val="clear" w:color="auto" w:fill="auto"/>
          </w:tcPr>
          <w:p w14:paraId="39653DF5">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废固杯</w:t>
            </w:r>
          </w:p>
        </w:tc>
        <w:tc>
          <w:tcPr>
            <w:tcW w:w="1036" w:type="pct"/>
            <w:shd w:val="clear" w:color="auto" w:fill="auto"/>
          </w:tcPr>
          <w:p w14:paraId="0CBD397D">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2只/选手</w:t>
            </w:r>
          </w:p>
        </w:tc>
        <w:tc>
          <w:tcPr>
            <w:tcW w:w="1547" w:type="pct"/>
            <w:shd w:val="clear" w:color="auto" w:fill="auto"/>
          </w:tcPr>
          <w:p w14:paraId="4A710C2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1000mL</w:t>
            </w:r>
          </w:p>
        </w:tc>
      </w:tr>
      <w:tr w14:paraId="6EA7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tcPr>
          <w:p w14:paraId="00C2D038">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90</w:t>
            </w:r>
          </w:p>
        </w:tc>
        <w:tc>
          <w:tcPr>
            <w:tcW w:w="1870" w:type="pct"/>
            <w:shd w:val="clear" w:color="auto" w:fill="auto"/>
            <w:vAlign w:val="top"/>
          </w:tcPr>
          <w:p w14:paraId="7FB450A5">
            <w:pPr>
              <w:keepNext w:val="0"/>
              <w:keepLines w:val="0"/>
              <w:pageBreakBefore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超声清洗机</w:t>
            </w:r>
          </w:p>
        </w:tc>
        <w:tc>
          <w:tcPr>
            <w:tcW w:w="1036" w:type="pct"/>
            <w:shd w:val="clear" w:color="auto" w:fill="auto"/>
            <w:vAlign w:val="top"/>
          </w:tcPr>
          <w:p w14:paraId="502C842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若干/公用</w:t>
            </w:r>
          </w:p>
        </w:tc>
        <w:tc>
          <w:tcPr>
            <w:tcW w:w="1547" w:type="pct"/>
            <w:shd w:val="clear" w:color="auto" w:fill="auto"/>
            <w:vAlign w:val="top"/>
          </w:tcPr>
          <w:p w14:paraId="46BAB0C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p>
        </w:tc>
      </w:tr>
      <w:tr w14:paraId="4B12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tcPr>
          <w:p w14:paraId="0DFB3E7E">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91</w:t>
            </w:r>
          </w:p>
        </w:tc>
        <w:tc>
          <w:tcPr>
            <w:tcW w:w="1870" w:type="pct"/>
            <w:shd w:val="clear" w:color="auto" w:fill="auto"/>
            <w:vAlign w:val="top"/>
          </w:tcPr>
          <w:p w14:paraId="7479F4A4">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阿贝折射仪</w:t>
            </w:r>
          </w:p>
        </w:tc>
        <w:tc>
          <w:tcPr>
            <w:tcW w:w="1036" w:type="pct"/>
            <w:shd w:val="clear" w:color="auto" w:fill="auto"/>
            <w:vAlign w:val="top"/>
          </w:tcPr>
          <w:p w14:paraId="7116EED1">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若干/公用</w:t>
            </w:r>
          </w:p>
        </w:tc>
        <w:tc>
          <w:tcPr>
            <w:tcW w:w="1547" w:type="pct"/>
            <w:shd w:val="clear" w:color="auto" w:fill="auto"/>
            <w:vAlign w:val="top"/>
          </w:tcPr>
          <w:p w14:paraId="671714C8">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双目</w:t>
            </w:r>
          </w:p>
        </w:tc>
      </w:tr>
      <w:tr w14:paraId="5208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auto"/>
          </w:tcPr>
          <w:p w14:paraId="5532E96B">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92</w:t>
            </w:r>
          </w:p>
        </w:tc>
        <w:tc>
          <w:tcPr>
            <w:tcW w:w="1870" w:type="pct"/>
            <w:shd w:val="clear" w:color="auto" w:fill="auto"/>
            <w:vAlign w:val="top"/>
          </w:tcPr>
          <w:p w14:paraId="79A68C43">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气流烘干器</w:t>
            </w:r>
          </w:p>
        </w:tc>
        <w:tc>
          <w:tcPr>
            <w:tcW w:w="1036" w:type="pct"/>
            <w:shd w:val="clear" w:color="auto" w:fill="auto"/>
            <w:vAlign w:val="top"/>
          </w:tcPr>
          <w:p w14:paraId="15636F6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若干</w:t>
            </w:r>
            <w:r>
              <w:rPr>
                <w:rFonts w:hint="eastAsia" w:ascii="仿宋_GB2312" w:hAnsi="仿宋_GB2312" w:eastAsia="仿宋_GB2312" w:cs="仿宋_GB2312"/>
                <w:color w:val="auto"/>
                <w:kern w:val="2"/>
                <w:sz w:val="32"/>
                <w:szCs w:val="32"/>
                <w:highlight w:val="none"/>
                <w:lang w:val="en-US" w:eastAsia="zh-CN" w:bidi="ar-SA"/>
              </w:rPr>
              <w:t>/公用</w:t>
            </w:r>
          </w:p>
        </w:tc>
        <w:tc>
          <w:tcPr>
            <w:tcW w:w="1547" w:type="pct"/>
            <w:shd w:val="clear" w:color="auto" w:fill="auto"/>
            <w:vAlign w:val="top"/>
          </w:tcPr>
          <w:p w14:paraId="52C07AB2">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C型</w:t>
            </w:r>
          </w:p>
        </w:tc>
      </w:tr>
    </w:tbl>
    <w:p w14:paraId="1829E361">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 xml:space="preserve">表8 </w:t>
      </w:r>
      <w:r>
        <w:rPr>
          <w:rFonts w:hint="eastAsia" w:ascii="仿宋_GB2312" w:hAnsi="仿宋_GB2312" w:eastAsia="仿宋_GB2312" w:cs="仿宋_GB2312"/>
          <w:color w:val="auto"/>
          <w:kern w:val="0"/>
          <w:sz w:val="32"/>
          <w:szCs w:val="32"/>
          <w:highlight w:val="none"/>
          <w:lang w:bidi="ar"/>
        </w:rPr>
        <w:t>化学实验室技术项目选手自带工具、材料清单表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3051"/>
        <w:gridCol w:w="2261"/>
        <w:gridCol w:w="2783"/>
      </w:tblGrid>
      <w:tr w14:paraId="691A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Pr>
          <w:p w14:paraId="7804D58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序号</w:t>
            </w:r>
          </w:p>
        </w:tc>
        <w:tc>
          <w:tcPr>
            <w:tcW w:w="1684" w:type="pct"/>
          </w:tcPr>
          <w:p w14:paraId="0553542D">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名称</w:t>
            </w:r>
          </w:p>
        </w:tc>
        <w:tc>
          <w:tcPr>
            <w:tcW w:w="1248" w:type="pct"/>
          </w:tcPr>
          <w:p w14:paraId="6D667AB0">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数量</w:t>
            </w:r>
          </w:p>
        </w:tc>
        <w:tc>
          <w:tcPr>
            <w:tcW w:w="1536" w:type="pct"/>
          </w:tcPr>
          <w:p w14:paraId="06EE206B">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技术规格</w:t>
            </w:r>
          </w:p>
        </w:tc>
      </w:tr>
      <w:tr w14:paraId="3331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Pr>
          <w:p w14:paraId="5A34B587">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1684" w:type="pct"/>
          </w:tcPr>
          <w:p w14:paraId="78256C0F">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滴定管</w:t>
            </w:r>
          </w:p>
        </w:tc>
        <w:tc>
          <w:tcPr>
            <w:tcW w:w="1248" w:type="pct"/>
          </w:tcPr>
          <w:p w14:paraId="361CD1A6">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lang w:eastAsia="zh"/>
                <w:woUserID w:val="1"/>
              </w:rPr>
            </w:pPr>
            <w:r>
              <w:rPr>
                <w:rFonts w:hint="eastAsia" w:ascii="仿宋_GB2312" w:hAnsi="仿宋_GB2312" w:eastAsia="仿宋_GB2312" w:cs="仿宋_GB2312"/>
                <w:color w:val="auto"/>
                <w:sz w:val="32"/>
                <w:szCs w:val="32"/>
                <w:highlight w:val="none"/>
                <w:lang w:eastAsia="zh"/>
                <w:woUserID w:val="1"/>
              </w:rPr>
              <w:t>不限</w:t>
            </w:r>
          </w:p>
        </w:tc>
        <w:tc>
          <w:tcPr>
            <w:tcW w:w="1536" w:type="pct"/>
          </w:tcPr>
          <w:p w14:paraId="3BD01F4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lang w:eastAsia="zh"/>
                <w:woUserID w:val="1"/>
              </w:rPr>
            </w:pPr>
            <w:r>
              <w:rPr>
                <w:rFonts w:hint="eastAsia" w:ascii="仿宋_GB2312" w:hAnsi="仿宋_GB2312" w:eastAsia="仿宋_GB2312" w:cs="仿宋_GB2312"/>
                <w:color w:val="auto"/>
                <w:sz w:val="32"/>
                <w:szCs w:val="32"/>
                <w:highlight w:val="none"/>
                <w:lang w:eastAsia="zh"/>
                <w:woUserID w:val="1"/>
              </w:rPr>
              <w:t>自定</w:t>
            </w:r>
          </w:p>
        </w:tc>
      </w:tr>
      <w:tr w14:paraId="3380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Pr>
          <w:p w14:paraId="1DF0D7C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1684" w:type="pct"/>
          </w:tcPr>
          <w:p w14:paraId="15B729A5">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容量瓶</w:t>
            </w:r>
          </w:p>
        </w:tc>
        <w:tc>
          <w:tcPr>
            <w:tcW w:w="1248" w:type="pct"/>
            <w:vAlign w:val="top"/>
          </w:tcPr>
          <w:p w14:paraId="724C2A7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woUserID w:val="1"/>
              </w:rPr>
            </w:pPr>
            <w:r>
              <w:rPr>
                <w:rFonts w:hint="eastAsia" w:ascii="仿宋_GB2312" w:hAnsi="仿宋_GB2312" w:eastAsia="仿宋_GB2312" w:cs="仿宋_GB2312"/>
                <w:color w:val="auto"/>
                <w:sz w:val="32"/>
                <w:szCs w:val="32"/>
                <w:highlight w:val="none"/>
                <w:lang w:eastAsia="zh"/>
                <w:woUserID w:val="1"/>
              </w:rPr>
              <w:t>不限</w:t>
            </w:r>
          </w:p>
        </w:tc>
        <w:tc>
          <w:tcPr>
            <w:tcW w:w="1536" w:type="pct"/>
            <w:vAlign w:val="top"/>
          </w:tcPr>
          <w:p w14:paraId="0DCCDE6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woUserID w:val="1"/>
              </w:rPr>
            </w:pPr>
            <w:r>
              <w:rPr>
                <w:rFonts w:hint="eastAsia" w:ascii="仿宋_GB2312" w:hAnsi="仿宋_GB2312" w:eastAsia="仿宋_GB2312" w:cs="仿宋_GB2312"/>
                <w:color w:val="auto"/>
                <w:sz w:val="32"/>
                <w:szCs w:val="32"/>
                <w:highlight w:val="none"/>
                <w:lang w:eastAsia="zh"/>
                <w:woUserID w:val="1"/>
              </w:rPr>
              <w:t>自定</w:t>
            </w:r>
          </w:p>
        </w:tc>
      </w:tr>
      <w:tr w14:paraId="1C00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Pr>
          <w:p w14:paraId="690166D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lang w:eastAsia="zh"/>
                <w:woUserID w:val="1"/>
              </w:rPr>
            </w:pPr>
            <w:r>
              <w:rPr>
                <w:rFonts w:hint="eastAsia" w:ascii="仿宋_GB2312" w:hAnsi="仿宋_GB2312" w:eastAsia="仿宋_GB2312" w:cs="仿宋_GB2312"/>
                <w:color w:val="auto"/>
                <w:sz w:val="32"/>
                <w:szCs w:val="32"/>
                <w:highlight w:val="none"/>
                <w:lang w:eastAsia="zh"/>
                <w:woUserID w:val="1"/>
              </w:rPr>
              <w:t>3</w:t>
            </w:r>
          </w:p>
        </w:tc>
        <w:tc>
          <w:tcPr>
            <w:tcW w:w="1684" w:type="pct"/>
          </w:tcPr>
          <w:p w14:paraId="35C3D43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单标线吸量管</w:t>
            </w:r>
          </w:p>
        </w:tc>
        <w:tc>
          <w:tcPr>
            <w:tcW w:w="1248" w:type="pct"/>
            <w:vAlign w:val="top"/>
          </w:tcPr>
          <w:p w14:paraId="6EFF44D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woUserID w:val="1"/>
              </w:rPr>
            </w:pPr>
            <w:r>
              <w:rPr>
                <w:rFonts w:hint="eastAsia" w:ascii="仿宋_GB2312" w:hAnsi="仿宋_GB2312" w:eastAsia="仿宋_GB2312" w:cs="仿宋_GB2312"/>
                <w:color w:val="auto"/>
                <w:sz w:val="32"/>
                <w:szCs w:val="32"/>
                <w:highlight w:val="none"/>
                <w:lang w:eastAsia="zh"/>
                <w:woUserID w:val="1"/>
              </w:rPr>
              <w:t>不限</w:t>
            </w:r>
          </w:p>
        </w:tc>
        <w:tc>
          <w:tcPr>
            <w:tcW w:w="1536" w:type="pct"/>
            <w:vAlign w:val="top"/>
          </w:tcPr>
          <w:p w14:paraId="780FAC9A">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woUserID w:val="1"/>
              </w:rPr>
            </w:pPr>
            <w:r>
              <w:rPr>
                <w:rFonts w:hint="eastAsia" w:ascii="仿宋_GB2312" w:hAnsi="仿宋_GB2312" w:eastAsia="仿宋_GB2312" w:cs="仿宋_GB2312"/>
                <w:color w:val="auto"/>
                <w:sz w:val="32"/>
                <w:szCs w:val="32"/>
                <w:highlight w:val="none"/>
                <w:lang w:eastAsia="zh"/>
                <w:woUserID w:val="1"/>
              </w:rPr>
              <w:t>自定</w:t>
            </w:r>
          </w:p>
        </w:tc>
      </w:tr>
      <w:tr w14:paraId="4179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Pr>
          <w:p w14:paraId="1418B42E">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lang w:eastAsia="zh"/>
                <w:woUserID w:val="1"/>
              </w:rPr>
            </w:pPr>
            <w:r>
              <w:rPr>
                <w:rFonts w:hint="eastAsia" w:ascii="仿宋_GB2312" w:hAnsi="仿宋_GB2312" w:eastAsia="仿宋_GB2312" w:cs="仿宋_GB2312"/>
                <w:color w:val="auto"/>
                <w:sz w:val="32"/>
                <w:szCs w:val="32"/>
                <w:highlight w:val="none"/>
                <w:lang w:eastAsia="zh"/>
                <w:woUserID w:val="1"/>
              </w:rPr>
              <w:t>4</w:t>
            </w:r>
          </w:p>
        </w:tc>
        <w:tc>
          <w:tcPr>
            <w:tcW w:w="1684" w:type="pct"/>
          </w:tcPr>
          <w:p w14:paraId="55DD7646">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分刻度吸量管</w:t>
            </w:r>
          </w:p>
        </w:tc>
        <w:tc>
          <w:tcPr>
            <w:tcW w:w="1248" w:type="pct"/>
            <w:vAlign w:val="top"/>
          </w:tcPr>
          <w:p w14:paraId="180422C8">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woUserID w:val="1"/>
              </w:rPr>
            </w:pPr>
            <w:r>
              <w:rPr>
                <w:rFonts w:hint="eastAsia" w:ascii="仿宋_GB2312" w:hAnsi="仿宋_GB2312" w:eastAsia="仿宋_GB2312" w:cs="仿宋_GB2312"/>
                <w:color w:val="auto"/>
                <w:sz w:val="32"/>
                <w:szCs w:val="32"/>
                <w:highlight w:val="none"/>
                <w:lang w:eastAsia="zh"/>
                <w:woUserID w:val="1"/>
              </w:rPr>
              <w:t>不限</w:t>
            </w:r>
          </w:p>
        </w:tc>
        <w:tc>
          <w:tcPr>
            <w:tcW w:w="1536" w:type="pct"/>
            <w:vAlign w:val="top"/>
          </w:tcPr>
          <w:p w14:paraId="51E29A00">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woUserID w:val="1"/>
              </w:rPr>
            </w:pPr>
            <w:r>
              <w:rPr>
                <w:rFonts w:hint="eastAsia" w:ascii="仿宋_GB2312" w:hAnsi="仿宋_GB2312" w:eastAsia="仿宋_GB2312" w:cs="仿宋_GB2312"/>
                <w:color w:val="auto"/>
                <w:sz w:val="32"/>
                <w:szCs w:val="32"/>
                <w:highlight w:val="none"/>
                <w:lang w:eastAsia="zh"/>
                <w:woUserID w:val="1"/>
              </w:rPr>
              <w:t>自定</w:t>
            </w:r>
          </w:p>
        </w:tc>
      </w:tr>
      <w:tr w14:paraId="39C0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Pr>
          <w:p w14:paraId="4BA62A7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lang w:eastAsia="zh"/>
                <w:woUserID w:val="1"/>
              </w:rPr>
            </w:pPr>
            <w:r>
              <w:rPr>
                <w:rFonts w:hint="eastAsia" w:ascii="仿宋_GB2312" w:hAnsi="仿宋_GB2312" w:eastAsia="仿宋_GB2312" w:cs="仿宋_GB2312"/>
                <w:color w:val="auto"/>
                <w:sz w:val="32"/>
                <w:szCs w:val="32"/>
                <w:highlight w:val="none"/>
                <w:lang w:eastAsia="zh"/>
                <w:woUserID w:val="1"/>
              </w:rPr>
              <w:t>5</w:t>
            </w:r>
          </w:p>
        </w:tc>
        <w:tc>
          <w:tcPr>
            <w:tcW w:w="1684" w:type="pct"/>
          </w:tcPr>
          <w:p w14:paraId="047AA455">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比色皿</w:t>
            </w:r>
          </w:p>
        </w:tc>
        <w:tc>
          <w:tcPr>
            <w:tcW w:w="1248" w:type="pct"/>
            <w:vAlign w:val="top"/>
          </w:tcPr>
          <w:p w14:paraId="5F150E39">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woUserID w:val="1"/>
              </w:rPr>
            </w:pPr>
            <w:r>
              <w:rPr>
                <w:rFonts w:hint="eastAsia" w:ascii="仿宋_GB2312" w:hAnsi="仿宋_GB2312" w:eastAsia="仿宋_GB2312" w:cs="仿宋_GB2312"/>
                <w:color w:val="auto"/>
                <w:sz w:val="32"/>
                <w:szCs w:val="32"/>
                <w:highlight w:val="none"/>
                <w:lang w:eastAsia="zh"/>
                <w:woUserID w:val="1"/>
              </w:rPr>
              <w:t>不限</w:t>
            </w:r>
          </w:p>
        </w:tc>
        <w:tc>
          <w:tcPr>
            <w:tcW w:w="1536" w:type="pct"/>
            <w:vAlign w:val="top"/>
          </w:tcPr>
          <w:p w14:paraId="4DC05305">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highlight w:val="none"/>
                <w:woUserID w:val="1"/>
              </w:rPr>
            </w:pPr>
            <w:r>
              <w:rPr>
                <w:rFonts w:hint="eastAsia" w:ascii="仿宋_GB2312" w:hAnsi="仿宋_GB2312" w:eastAsia="仿宋_GB2312" w:cs="仿宋_GB2312"/>
                <w:color w:val="auto"/>
                <w:sz w:val="32"/>
                <w:szCs w:val="32"/>
                <w:highlight w:val="none"/>
                <w:lang w:eastAsia="zh"/>
                <w:woUserID w:val="1"/>
              </w:rPr>
              <w:t>自定</w:t>
            </w:r>
          </w:p>
        </w:tc>
      </w:tr>
    </w:tbl>
    <w:p w14:paraId="5DA08120">
      <w:pPr>
        <w:keepNext w:val="0"/>
        <w:keepLines w:val="0"/>
        <w:pageBreakBefore w:val="0"/>
        <w:widowControl w:val="0"/>
        <w:kinsoku/>
        <w:wordWrap/>
        <w:overflowPunct/>
        <w:topLinePunct w:val="0"/>
        <w:autoSpaceDE/>
        <w:autoSpaceDN/>
        <w:bidi w:val="0"/>
        <w:adjustRightInd w:val="0"/>
        <w:snapToGrid w:val="0"/>
        <w:spacing w:line="600" w:lineRule="exact"/>
        <w:ind w:left="814"/>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
          <w:sz w:val="32"/>
          <w:szCs w:val="32"/>
          <w:highlight w:val="none"/>
        </w:rPr>
        <w:t>说明</w:t>
      </w:r>
      <w:r>
        <w:rPr>
          <w:rFonts w:hint="eastAsia" w:ascii="仿宋_GB2312" w:hAnsi="仿宋_GB2312" w:eastAsia="仿宋_GB2312" w:cs="仿宋_GB2312"/>
          <w:color w:val="auto"/>
          <w:spacing w:val="-1"/>
          <w:sz w:val="32"/>
          <w:szCs w:val="32"/>
          <w:highlight w:val="none"/>
        </w:rPr>
        <w:t>：</w:t>
      </w:r>
    </w:p>
    <w:p w14:paraId="7E003EC0">
      <w:pPr>
        <w:keepNext w:val="0"/>
        <w:keepLines w:val="0"/>
        <w:pageBreakBefore w:val="0"/>
        <w:widowControl w:val="0"/>
        <w:kinsoku/>
        <w:wordWrap/>
        <w:overflowPunct/>
        <w:topLinePunct w:val="0"/>
        <w:autoSpaceDE/>
        <w:autoSpaceDN/>
        <w:bidi w:val="0"/>
        <w:adjustRightInd w:val="0"/>
        <w:snapToGrid w:val="0"/>
        <w:spacing w:line="600" w:lineRule="exact"/>
        <w:ind w:left="177" w:right="206" w:firstLine="649"/>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1</w:t>
      </w:r>
      <w:r>
        <w:rPr>
          <w:rFonts w:hint="eastAsia" w:ascii="仿宋_GB2312" w:hAnsi="仿宋_GB2312" w:eastAsia="仿宋_GB2312" w:cs="仿宋_GB2312"/>
          <w:color w:val="auto"/>
          <w:spacing w:val="7"/>
          <w:sz w:val="32"/>
          <w:szCs w:val="32"/>
          <w:highlight w:val="none"/>
        </w:rPr>
        <w:t>.</w:t>
      </w:r>
      <w:r>
        <w:rPr>
          <w:rFonts w:hint="eastAsia" w:ascii="仿宋_GB2312" w:hAnsi="仿宋_GB2312" w:eastAsia="仿宋_GB2312" w:cs="仿宋_GB2312"/>
          <w:color w:val="auto"/>
          <w:spacing w:val="5"/>
          <w:sz w:val="32"/>
          <w:szCs w:val="32"/>
          <w:highlight w:val="none"/>
        </w:rPr>
        <w:t>未明确在选手</w:t>
      </w:r>
      <w:r>
        <w:rPr>
          <w:rFonts w:hint="eastAsia" w:ascii="仿宋_GB2312" w:hAnsi="仿宋_GB2312" w:eastAsia="仿宋_GB2312" w:cs="仿宋_GB2312"/>
          <w:color w:val="auto"/>
          <w:spacing w:val="5"/>
          <w:sz w:val="32"/>
          <w:szCs w:val="32"/>
          <w:highlight w:val="none"/>
          <w:lang w:val="en-US" w:eastAsia="zh-CN"/>
        </w:rPr>
        <w:t>自</w:t>
      </w:r>
      <w:r>
        <w:rPr>
          <w:rFonts w:hint="eastAsia" w:ascii="仿宋_GB2312" w:hAnsi="仿宋_GB2312" w:eastAsia="仿宋_GB2312" w:cs="仿宋_GB2312"/>
          <w:color w:val="auto"/>
          <w:spacing w:val="5"/>
          <w:sz w:val="32"/>
          <w:szCs w:val="32"/>
          <w:highlight w:val="none"/>
        </w:rPr>
        <w:t>带工具清单中的其他类设备、器皿，</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0"/>
          <w:sz w:val="32"/>
          <w:szCs w:val="32"/>
          <w:highlight w:val="none"/>
        </w:rPr>
        <w:t>一</w:t>
      </w:r>
      <w:r>
        <w:rPr>
          <w:rFonts w:hint="eastAsia" w:ascii="仿宋_GB2312" w:hAnsi="仿宋_GB2312" w:eastAsia="仿宋_GB2312" w:cs="仿宋_GB2312"/>
          <w:color w:val="auto"/>
          <w:spacing w:val="6"/>
          <w:sz w:val="32"/>
          <w:szCs w:val="32"/>
          <w:highlight w:val="none"/>
        </w:rPr>
        <w:t>律</w:t>
      </w:r>
      <w:r>
        <w:rPr>
          <w:rFonts w:hint="eastAsia" w:ascii="仿宋_GB2312" w:hAnsi="仿宋_GB2312" w:eastAsia="仿宋_GB2312" w:cs="仿宋_GB2312"/>
          <w:color w:val="auto"/>
          <w:spacing w:val="5"/>
          <w:sz w:val="32"/>
          <w:szCs w:val="32"/>
          <w:highlight w:val="none"/>
        </w:rPr>
        <w:t>不得带入赛场；</w:t>
      </w:r>
    </w:p>
    <w:p w14:paraId="5C5A21B4">
      <w:pPr>
        <w:keepNext w:val="0"/>
        <w:keepLines w:val="0"/>
        <w:pageBreakBefore w:val="0"/>
        <w:widowControl w:val="0"/>
        <w:kinsoku/>
        <w:wordWrap/>
        <w:overflowPunct/>
        <w:topLinePunct w:val="0"/>
        <w:autoSpaceDE/>
        <w:autoSpaceDN/>
        <w:bidi w:val="0"/>
        <w:adjustRightInd w:val="0"/>
        <w:snapToGrid w:val="0"/>
        <w:spacing w:line="600" w:lineRule="exact"/>
        <w:ind w:left="807"/>
        <w:textAlignment w:val="auto"/>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
          <w:position w:val="2"/>
          <w:sz w:val="32"/>
          <w:szCs w:val="32"/>
          <w:highlight w:val="none"/>
        </w:rPr>
        <w:t>2.赛场配发的各类工具、材料，选</w:t>
      </w:r>
      <w:r>
        <w:rPr>
          <w:rFonts w:hint="eastAsia" w:ascii="仿宋_GB2312" w:hAnsi="仿宋_GB2312" w:eastAsia="仿宋_GB2312" w:cs="仿宋_GB2312"/>
          <w:color w:val="auto"/>
          <w:position w:val="2"/>
          <w:sz w:val="32"/>
          <w:szCs w:val="32"/>
          <w:highlight w:val="none"/>
        </w:rPr>
        <w:t>手一律不得带出赛场；</w:t>
      </w:r>
    </w:p>
    <w:p w14:paraId="4623351D">
      <w:pPr>
        <w:keepNext w:val="0"/>
        <w:keepLines w:val="0"/>
        <w:pageBreakBefore w:val="0"/>
        <w:widowControl w:val="0"/>
        <w:kinsoku/>
        <w:wordWrap/>
        <w:overflowPunct/>
        <w:topLinePunct w:val="0"/>
        <w:autoSpaceDE/>
        <w:autoSpaceDN/>
        <w:bidi w:val="0"/>
        <w:adjustRightInd w:val="0"/>
        <w:snapToGrid w:val="0"/>
        <w:spacing w:line="600" w:lineRule="exact"/>
        <w:ind w:left="175" w:right="148" w:firstLine="634"/>
        <w:textAlignment w:val="auto"/>
        <w:rPr>
          <w:rFonts w:hint="eastAsia" w:ascii="仿宋_GB2312" w:hAnsi="仿宋_GB2312" w:eastAsia="仿宋_GB2312" w:cs="仿宋_GB2312"/>
          <w:color w:val="auto"/>
          <w:spacing w:val="5"/>
          <w:sz w:val="32"/>
          <w:szCs w:val="32"/>
          <w:highlight w:val="none"/>
        </w:rPr>
      </w:pPr>
      <w:r>
        <w:rPr>
          <w:rFonts w:hint="eastAsia" w:ascii="仿宋_GB2312" w:hAnsi="仿宋_GB2312" w:eastAsia="仿宋_GB2312" w:cs="仿宋_GB2312"/>
          <w:color w:val="auto"/>
          <w:spacing w:val="2"/>
          <w:sz w:val="32"/>
          <w:szCs w:val="32"/>
          <w:highlight w:val="none"/>
        </w:rPr>
        <w:t>3.在《选手自带工具、设备清单表》中明确的选手自</w:t>
      </w:r>
      <w:r>
        <w:rPr>
          <w:rFonts w:hint="eastAsia" w:ascii="仿宋_GB2312" w:hAnsi="仿宋_GB2312" w:eastAsia="仿宋_GB2312" w:cs="仿宋_GB2312"/>
          <w:color w:val="auto"/>
          <w:sz w:val="32"/>
          <w:szCs w:val="32"/>
          <w:highlight w:val="none"/>
        </w:rPr>
        <w:t xml:space="preserve">带 </w:t>
      </w:r>
      <w:r>
        <w:rPr>
          <w:rFonts w:hint="eastAsia" w:ascii="仿宋_GB2312" w:hAnsi="仿宋_GB2312" w:eastAsia="仿宋_GB2312" w:cs="仿宋_GB2312"/>
          <w:color w:val="auto"/>
          <w:spacing w:val="16"/>
          <w:sz w:val="32"/>
          <w:szCs w:val="32"/>
          <w:highlight w:val="none"/>
        </w:rPr>
        <w:t>的</w:t>
      </w:r>
      <w:r>
        <w:rPr>
          <w:rFonts w:hint="eastAsia" w:ascii="仿宋_GB2312" w:hAnsi="仿宋_GB2312" w:eastAsia="仿宋_GB2312" w:cs="仿宋_GB2312"/>
          <w:color w:val="auto"/>
          <w:spacing w:val="14"/>
          <w:sz w:val="32"/>
          <w:szCs w:val="32"/>
          <w:highlight w:val="none"/>
        </w:rPr>
        <w:t>计</w:t>
      </w:r>
      <w:r>
        <w:rPr>
          <w:rFonts w:hint="eastAsia" w:ascii="仿宋_GB2312" w:hAnsi="仿宋_GB2312" w:eastAsia="仿宋_GB2312" w:cs="仿宋_GB2312"/>
          <w:color w:val="auto"/>
          <w:spacing w:val="8"/>
          <w:sz w:val="32"/>
          <w:szCs w:val="32"/>
          <w:highlight w:val="none"/>
        </w:rPr>
        <w:t>量器皿其数量和规格供选手参考，选手可根据情况决定</w:t>
      </w:r>
      <w:r>
        <w:rPr>
          <w:rFonts w:hint="eastAsia" w:ascii="仿宋_GB2312" w:hAnsi="仿宋_GB2312" w:eastAsia="仿宋_GB2312" w:cs="仿宋_GB2312"/>
          <w:color w:val="auto"/>
          <w:spacing w:val="6"/>
          <w:sz w:val="32"/>
          <w:szCs w:val="32"/>
          <w:highlight w:val="none"/>
        </w:rPr>
        <w:t>其</w:t>
      </w:r>
      <w:r>
        <w:rPr>
          <w:rFonts w:hint="eastAsia" w:ascii="仿宋_GB2312" w:hAnsi="仿宋_GB2312" w:eastAsia="仿宋_GB2312" w:cs="仿宋_GB2312"/>
          <w:color w:val="auto"/>
          <w:spacing w:val="5"/>
          <w:sz w:val="32"/>
          <w:szCs w:val="32"/>
          <w:highlight w:val="none"/>
        </w:rPr>
        <w:t>规格和数量。</w:t>
      </w:r>
    </w:p>
    <w:p w14:paraId="57A3B4E0">
      <w:pPr>
        <w:pStyle w:val="4"/>
        <w:pageBreakBefore w:val="0"/>
        <w:widowControl w:val="0"/>
        <w:kinsoku/>
        <w:wordWrap/>
        <w:overflowPunct/>
        <w:topLinePunct w:val="0"/>
        <w:autoSpaceDE/>
        <w:autoSpaceDN/>
        <w:bidi w:val="0"/>
        <w:adjustRightInd w:val="0"/>
        <w:snapToGrid w:val="0"/>
        <w:spacing w:beforeAutospacing="0" w:afterAutospacing="0" w:line="600" w:lineRule="exact"/>
        <w:ind w:left="0" w:leftChars="0" w:firstLine="640" w:firstLineChars="200"/>
        <w:textAlignment w:val="auto"/>
        <w:rPr>
          <w:rFonts w:hint="eastAsia" w:ascii="黑体" w:hAnsi="黑体" w:eastAsia="黑体" w:cs="黑体"/>
          <w:b w:val="0"/>
          <w:bCs/>
          <w:color w:val="auto"/>
          <w:sz w:val="32"/>
          <w:szCs w:val="32"/>
          <w:highlight w:val="none"/>
        </w:rPr>
      </w:pPr>
      <w:bookmarkStart w:id="25" w:name="_Toc1450"/>
      <w:r>
        <w:rPr>
          <w:rFonts w:hint="eastAsia" w:ascii="黑体" w:hAnsi="黑体" w:eastAsia="黑体" w:cs="黑体"/>
          <w:b w:val="0"/>
          <w:bCs/>
          <w:color w:val="auto"/>
          <w:sz w:val="32"/>
          <w:szCs w:val="32"/>
          <w:highlight w:val="none"/>
        </w:rPr>
        <w:t>五、安全、健康要求</w:t>
      </w:r>
      <w:bookmarkEnd w:id="25"/>
    </w:p>
    <w:p w14:paraId="5BFB826F">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26" w:name="_Toc10908"/>
      <w:r>
        <w:rPr>
          <w:rFonts w:hint="eastAsia" w:ascii="楷体" w:hAnsi="楷体" w:eastAsia="楷体" w:cs="楷体"/>
          <w:b/>
          <w:bCs/>
          <w:color w:val="auto"/>
          <w:kern w:val="2"/>
          <w:sz w:val="32"/>
          <w:szCs w:val="32"/>
          <w:highlight w:val="none"/>
          <w:lang w:val="en-US" w:eastAsia="zh-CN" w:bidi="ar-SA"/>
        </w:rPr>
        <w:t>（一）选手安全防护装备</w:t>
      </w:r>
      <w:bookmarkEnd w:id="26"/>
    </w:p>
    <w:p w14:paraId="1F9C4F47">
      <w:pPr>
        <w:pageBreakBefore w:val="0"/>
        <w:widowControl w:val="0"/>
        <w:kinsoku/>
        <w:wordWrap/>
        <w:overflowPunct/>
        <w:topLinePunct w:val="0"/>
        <w:autoSpaceDE/>
        <w:autoSpaceDN/>
        <w:bidi w:val="0"/>
        <w:adjustRightInd w:val="0"/>
        <w:snapToGrid w:val="0"/>
        <w:spacing w:line="600" w:lineRule="exact"/>
        <w:ind w:right="110"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lang w:val="en-US" w:eastAsia="zh-CN"/>
        </w:rPr>
        <w:t>1.</w:t>
      </w:r>
      <w:r>
        <w:rPr>
          <w:rFonts w:hint="eastAsia" w:ascii="仿宋_GB2312" w:hAnsi="仿宋_GB2312" w:eastAsia="仿宋_GB2312" w:cs="仿宋_GB2312"/>
          <w:color w:val="auto"/>
          <w:spacing w:val="17"/>
          <w:sz w:val="32"/>
          <w:szCs w:val="32"/>
          <w:highlight w:val="none"/>
        </w:rPr>
        <w:t>参</w:t>
      </w:r>
      <w:r>
        <w:rPr>
          <w:rFonts w:hint="eastAsia" w:ascii="仿宋_GB2312" w:hAnsi="仿宋_GB2312" w:eastAsia="仿宋_GB2312" w:cs="仿宋_GB2312"/>
          <w:color w:val="auto"/>
          <w:spacing w:val="10"/>
          <w:sz w:val="32"/>
          <w:szCs w:val="32"/>
          <w:highlight w:val="none"/>
        </w:rPr>
        <w:t>赛选手</w:t>
      </w:r>
      <w:r>
        <w:rPr>
          <w:rFonts w:hint="eastAsia" w:ascii="仿宋_GB2312" w:hAnsi="仿宋_GB2312" w:eastAsia="仿宋_GB2312" w:cs="仿宋_GB2312"/>
          <w:color w:val="auto"/>
          <w:spacing w:val="8"/>
          <w:sz w:val="32"/>
          <w:szCs w:val="32"/>
          <w:highlight w:val="none"/>
        </w:rPr>
        <w:t>应严格遵守化学类实验安全操作规程，</w:t>
      </w:r>
      <w:r>
        <w:rPr>
          <w:rFonts w:hint="eastAsia" w:ascii="仿宋_GB2312" w:hAnsi="仿宋_GB2312" w:eastAsia="仿宋_GB2312" w:cs="仿宋_GB2312"/>
          <w:color w:val="auto"/>
          <w:spacing w:val="10"/>
          <w:sz w:val="32"/>
          <w:szCs w:val="32"/>
          <w:highlight w:val="none"/>
        </w:rPr>
        <w:t>必须按照规定穿戴防护装备，包括防护眼镜、</w:t>
      </w:r>
      <w:r>
        <w:rPr>
          <w:rFonts w:hint="eastAsia" w:ascii="仿宋_GB2312" w:hAnsi="仿宋_GB2312" w:eastAsia="仿宋_GB2312" w:cs="仿宋_GB2312"/>
          <w:color w:val="auto"/>
          <w:spacing w:val="16"/>
          <w:sz w:val="32"/>
          <w:szCs w:val="32"/>
          <w:highlight w:val="none"/>
        </w:rPr>
        <w:t>防</w:t>
      </w:r>
      <w:r>
        <w:rPr>
          <w:rFonts w:hint="eastAsia" w:ascii="仿宋_GB2312" w:hAnsi="仿宋_GB2312" w:eastAsia="仿宋_GB2312" w:cs="仿宋_GB2312"/>
          <w:color w:val="auto"/>
          <w:spacing w:val="15"/>
          <w:sz w:val="32"/>
          <w:szCs w:val="32"/>
          <w:highlight w:val="none"/>
        </w:rPr>
        <w:t>护</w:t>
      </w:r>
      <w:r>
        <w:rPr>
          <w:rFonts w:hint="eastAsia" w:ascii="仿宋_GB2312" w:hAnsi="仿宋_GB2312" w:eastAsia="仿宋_GB2312" w:cs="仿宋_GB2312"/>
          <w:color w:val="auto"/>
          <w:spacing w:val="8"/>
          <w:sz w:val="32"/>
          <w:szCs w:val="32"/>
          <w:highlight w:val="none"/>
        </w:rPr>
        <w:t>鞋、防护服和防护手套，其中防护眼镜、防护鞋、防护</w:t>
      </w:r>
      <w:r>
        <w:rPr>
          <w:rFonts w:hint="eastAsia" w:ascii="仿宋_GB2312" w:hAnsi="仿宋_GB2312" w:eastAsia="仿宋_GB2312" w:cs="仿宋_GB2312"/>
          <w:color w:val="auto"/>
          <w:spacing w:val="20"/>
          <w:sz w:val="32"/>
          <w:szCs w:val="32"/>
          <w:highlight w:val="none"/>
        </w:rPr>
        <w:t>服</w:t>
      </w:r>
      <w:r>
        <w:rPr>
          <w:rFonts w:hint="eastAsia" w:ascii="仿宋_GB2312" w:hAnsi="仿宋_GB2312" w:eastAsia="仿宋_GB2312" w:cs="仿宋_GB2312"/>
          <w:color w:val="auto"/>
          <w:spacing w:val="10"/>
          <w:sz w:val="32"/>
          <w:szCs w:val="32"/>
          <w:highlight w:val="none"/>
        </w:rPr>
        <w:t>应在比赛的全程穿戴，防护手套按照规定在进行有毒、</w:t>
      </w:r>
      <w:r>
        <w:rPr>
          <w:rFonts w:hint="eastAsia" w:ascii="仿宋_GB2312" w:hAnsi="仿宋_GB2312" w:eastAsia="仿宋_GB2312" w:cs="仿宋_GB2312"/>
          <w:color w:val="auto"/>
          <w:spacing w:val="1"/>
          <w:sz w:val="32"/>
          <w:szCs w:val="32"/>
          <w:highlight w:val="none"/>
        </w:rPr>
        <w:t>易腐蚀的试剂操作时穿戴。防护眼镜、</w:t>
      </w:r>
      <w:r>
        <w:rPr>
          <w:rFonts w:hint="eastAsia" w:ascii="仿宋_GB2312" w:hAnsi="仿宋_GB2312" w:eastAsia="仿宋_GB2312" w:cs="仿宋_GB2312"/>
          <w:color w:val="auto"/>
          <w:sz w:val="32"/>
          <w:szCs w:val="32"/>
          <w:highlight w:val="none"/>
        </w:rPr>
        <w:t>防护手套、</w:t>
      </w:r>
      <w:r>
        <w:rPr>
          <w:rFonts w:hint="eastAsia" w:ascii="仿宋_GB2312" w:hAnsi="仿宋_GB2312" w:eastAsia="仿宋_GB2312" w:cs="仿宋_GB2312"/>
          <w:color w:val="auto"/>
          <w:spacing w:val="16"/>
          <w:sz w:val="32"/>
          <w:szCs w:val="32"/>
          <w:highlight w:val="none"/>
        </w:rPr>
        <w:t>头</w:t>
      </w:r>
      <w:r>
        <w:rPr>
          <w:rFonts w:hint="eastAsia" w:ascii="仿宋_GB2312" w:hAnsi="仿宋_GB2312" w:eastAsia="仿宋_GB2312" w:cs="仿宋_GB2312"/>
          <w:color w:val="auto"/>
          <w:spacing w:val="15"/>
          <w:sz w:val="32"/>
          <w:szCs w:val="32"/>
          <w:highlight w:val="none"/>
        </w:rPr>
        <w:t>套</w:t>
      </w:r>
      <w:r>
        <w:rPr>
          <w:rFonts w:hint="eastAsia" w:ascii="仿宋_GB2312" w:hAnsi="仿宋_GB2312" w:eastAsia="仿宋_GB2312" w:cs="仿宋_GB2312"/>
          <w:color w:val="auto"/>
          <w:spacing w:val="8"/>
          <w:sz w:val="32"/>
          <w:szCs w:val="32"/>
          <w:highlight w:val="none"/>
        </w:rPr>
        <w:t>由竞赛现场提供，选手可根据情况自带。</w:t>
      </w:r>
    </w:p>
    <w:p w14:paraId="28CC75E0">
      <w:pPr>
        <w:pageBreakBefore w:val="0"/>
        <w:widowControl w:val="0"/>
        <w:kinsoku/>
        <w:wordWrap/>
        <w:overflowPunct/>
        <w:topLinePunct w:val="0"/>
        <w:autoSpaceDE/>
        <w:autoSpaceDN/>
        <w:bidi w:val="0"/>
        <w:adjustRightInd w:val="0"/>
        <w:snapToGrid w:val="0"/>
        <w:spacing w:line="600" w:lineRule="exact"/>
        <w:ind w:right="110"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lang w:val="en-US" w:eastAsia="zh-CN"/>
        </w:rPr>
        <w:t>2.</w:t>
      </w:r>
      <w:r>
        <w:rPr>
          <w:rFonts w:hint="eastAsia" w:ascii="仿宋_GB2312" w:hAnsi="仿宋_GB2312" w:eastAsia="仿宋_GB2312" w:cs="仿宋_GB2312"/>
          <w:color w:val="auto"/>
          <w:spacing w:val="8"/>
          <w:sz w:val="32"/>
          <w:szCs w:val="32"/>
          <w:highlight w:val="none"/>
        </w:rPr>
        <w:t xml:space="preserve">参赛选手停止操作时，应保证设备能正常运行；比赛结束后，所有设备必须恢复原状；不拆部分或动硬件连接部分，应确保能正常运行和正常评分。 </w:t>
      </w:r>
    </w:p>
    <w:p w14:paraId="40D977B1">
      <w:pPr>
        <w:pageBreakBefore w:val="0"/>
        <w:widowControl w:val="0"/>
        <w:kinsoku/>
        <w:wordWrap/>
        <w:overflowPunct/>
        <w:topLinePunct w:val="0"/>
        <w:autoSpaceDE/>
        <w:autoSpaceDN/>
        <w:bidi w:val="0"/>
        <w:adjustRightInd w:val="0"/>
        <w:snapToGrid w:val="0"/>
        <w:spacing w:line="600" w:lineRule="exact"/>
        <w:ind w:right="110"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lang w:val="en-US" w:eastAsia="zh-CN"/>
        </w:rPr>
        <w:t>3.</w:t>
      </w:r>
      <w:r>
        <w:rPr>
          <w:rFonts w:hint="eastAsia" w:ascii="仿宋_GB2312" w:hAnsi="仿宋_GB2312" w:eastAsia="仿宋_GB2312" w:cs="仿宋_GB2312"/>
          <w:color w:val="auto"/>
          <w:spacing w:val="8"/>
          <w:sz w:val="32"/>
          <w:szCs w:val="32"/>
          <w:highlight w:val="none"/>
        </w:rPr>
        <w:t xml:space="preserve">参赛选手应保证设备的完整及安全。 </w:t>
      </w:r>
    </w:p>
    <w:p w14:paraId="01F057F0">
      <w:pPr>
        <w:pageBreakBefore w:val="0"/>
        <w:widowControl w:val="0"/>
        <w:kinsoku/>
        <w:wordWrap/>
        <w:overflowPunct/>
        <w:topLinePunct w:val="0"/>
        <w:autoSpaceDE/>
        <w:autoSpaceDN/>
        <w:bidi w:val="0"/>
        <w:adjustRightInd w:val="0"/>
        <w:snapToGrid w:val="0"/>
        <w:spacing w:line="600" w:lineRule="exact"/>
        <w:ind w:right="110"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lang w:val="en-US" w:eastAsia="zh-CN"/>
        </w:rPr>
        <w:t>4.</w:t>
      </w:r>
      <w:r>
        <w:rPr>
          <w:rFonts w:hint="eastAsia" w:ascii="仿宋_GB2312" w:hAnsi="仿宋_GB2312" w:eastAsia="仿宋_GB2312" w:cs="仿宋_GB2312"/>
          <w:color w:val="auto"/>
          <w:spacing w:val="8"/>
          <w:sz w:val="32"/>
          <w:szCs w:val="32"/>
          <w:highlight w:val="none"/>
        </w:rPr>
        <w:t>参赛选手要有良好的环境保护意识和践行能力。</w:t>
      </w:r>
    </w:p>
    <w:p w14:paraId="1E4010F1">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27" w:name="_bookmark21"/>
      <w:bookmarkEnd w:id="27"/>
      <w:bookmarkStart w:id="28" w:name="_Toc32185"/>
      <w:r>
        <w:rPr>
          <w:rFonts w:hint="eastAsia" w:ascii="楷体" w:hAnsi="楷体" w:eastAsia="楷体" w:cs="楷体"/>
          <w:b/>
          <w:bCs/>
          <w:color w:val="auto"/>
          <w:kern w:val="2"/>
          <w:sz w:val="32"/>
          <w:szCs w:val="32"/>
          <w:highlight w:val="none"/>
          <w:lang w:val="en-US" w:eastAsia="zh-CN" w:bidi="ar-SA"/>
        </w:rPr>
        <w:t>（二）选手禁止携带易燃易爆物品</w:t>
      </w:r>
      <w:bookmarkEnd w:id="28"/>
    </w:p>
    <w:p w14:paraId="651307D5">
      <w:pPr>
        <w:pStyle w:val="2"/>
        <w:pageBreakBefore w:val="0"/>
        <w:widowControl w:val="0"/>
        <w:kinsoku/>
        <w:wordWrap/>
        <w:overflowPunct/>
        <w:topLinePunct w:val="0"/>
        <w:autoSpaceDE/>
        <w:autoSpaceDN/>
        <w:bidi w:val="0"/>
        <w:adjustRightInd w:val="0"/>
        <w:snapToGrid w:val="0"/>
        <w:spacing w:line="600" w:lineRule="exact"/>
        <w:ind w:left="0" w:leftChars="0"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lang w:val="en-US" w:eastAsia="zh-CN"/>
        </w:rPr>
        <w:t>1.</w:t>
      </w:r>
      <w:r>
        <w:rPr>
          <w:rFonts w:hint="eastAsia" w:ascii="仿宋_GB2312" w:hAnsi="仿宋_GB2312" w:eastAsia="仿宋_GB2312" w:cs="仿宋_GB2312"/>
          <w:color w:val="auto"/>
          <w:spacing w:val="8"/>
          <w:sz w:val="32"/>
          <w:szCs w:val="32"/>
          <w:highlight w:val="none"/>
        </w:rPr>
        <w:t>禁止选手及所有参加赛事的人员携带任何有毒、有害物品进入竞赛现场。违规者不得参赛。</w:t>
      </w:r>
    </w:p>
    <w:p w14:paraId="1D9528CF">
      <w:pPr>
        <w:pageBreakBefore w:val="0"/>
        <w:widowControl w:val="0"/>
        <w:kinsoku/>
        <w:wordWrap/>
        <w:overflowPunct/>
        <w:topLinePunct w:val="0"/>
        <w:autoSpaceDE/>
        <w:autoSpaceDN/>
        <w:bidi w:val="0"/>
        <w:adjustRightInd w:val="0"/>
        <w:snapToGrid w:val="0"/>
        <w:spacing w:line="600" w:lineRule="exact"/>
        <w:ind w:right="110"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lang w:val="en-US" w:eastAsia="zh-CN"/>
        </w:rPr>
        <w:t>2.</w:t>
      </w:r>
      <w:r>
        <w:rPr>
          <w:rFonts w:hint="eastAsia" w:ascii="仿宋_GB2312" w:hAnsi="仿宋_GB2312" w:eastAsia="仿宋_GB2312" w:cs="仿宋_GB2312"/>
          <w:color w:val="auto"/>
          <w:spacing w:val="8"/>
          <w:sz w:val="32"/>
          <w:szCs w:val="32"/>
          <w:highlight w:val="none"/>
        </w:rPr>
        <w:t>禁止选手及所有参加赛事的人员在竞赛现场饮食、喝水、吸烟等行为。违规者不得参赛。</w:t>
      </w:r>
    </w:p>
    <w:p w14:paraId="274A4DF7">
      <w:pPr>
        <w:pageBreakBefore w:val="0"/>
        <w:widowControl w:val="0"/>
        <w:kinsoku/>
        <w:wordWrap/>
        <w:overflowPunct/>
        <w:topLinePunct w:val="0"/>
        <w:autoSpaceDE/>
        <w:autoSpaceDN/>
        <w:bidi w:val="0"/>
        <w:adjustRightInd w:val="0"/>
        <w:snapToGrid w:val="0"/>
        <w:spacing w:line="600" w:lineRule="exact"/>
        <w:ind w:right="110" w:firstLine="672" w:firstLineChars="200"/>
        <w:textAlignment w:val="auto"/>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8"/>
          <w:sz w:val="32"/>
          <w:szCs w:val="32"/>
          <w:highlight w:val="none"/>
          <w:lang w:val="en-US" w:eastAsia="zh-CN"/>
        </w:rPr>
        <w:t>3.</w:t>
      </w:r>
      <w:r>
        <w:rPr>
          <w:rFonts w:hint="eastAsia" w:ascii="仿宋_GB2312" w:hAnsi="仿宋_GB2312" w:eastAsia="仿宋_GB2312" w:cs="仿宋_GB2312"/>
          <w:color w:val="auto"/>
          <w:spacing w:val="8"/>
          <w:sz w:val="32"/>
          <w:szCs w:val="32"/>
          <w:highlight w:val="none"/>
        </w:rPr>
        <w:t>竞赛现场禁止使用明火，违规者将被警告和劝阻，不听从劝阻者将被取消竞赛资格。</w:t>
      </w:r>
    </w:p>
    <w:p w14:paraId="4D8FB2DB">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29" w:name="_bookmark22"/>
      <w:bookmarkEnd w:id="29"/>
      <w:bookmarkStart w:id="30" w:name="_Toc9077"/>
      <w:r>
        <w:rPr>
          <w:rFonts w:hint="eastAsia" w:ascii="楷体" w:hAnsi="楷体" w:eastAsia="楷体" w:cs="楷体"/>
          <w:b/>
          <w:bCs/>
          <w:color w:val="auto"/>
          <w:kern w:val="2"/>
          <w:sz w:val="32"/>
          <w:szCs w:val="32"/>
          <w:highlight w:val="none"/>
          <w:lang w:val="en-US" w:eastAsia="zh-CN" w:bidi="ar-SA"/>
        </w:rPr>
        <w:t>（三）赛场必须留有安全通道</w:t>
      </w:r>
      <w:bookmarkEnd w:id="30"/>
    </w:p>
    <w:p w14:paraId="3D845983">
      <w:pPr>
        <w:pageBreakBefore w:val="0"/>
        <w:widowControl w:val="0"/>
        <w:kinsoku/>
        <w:wordWrap/>
        <w:overflowPunct/>
        <w:topLinePunct w:val="0"/>
        <w:autoSpaceDE/>
        <w:autoSpaceDN/>
        <w:bidi w:val="0"/>
        <w:adjustRightInd w:val="0"/>
        <w:snapToGrid w:val="0"/>
        <w:spacing w:line="600" w:lineRule="exact"/>
        <w:ind w:left="157" w:right="133" w:firstLine="643"/>
        <w:textAlignment w:val="auto"/>
        <w:rPr>
          <w:rFonts w:hint="eastAsia" w:ascii="仿宋" w:hAnsi="仿宋" w:eastAsia="仿宋" w:cs="仿宋"/>
          <w:color w:val="auto"/>
          <w:sz w:val="32"/>
          <w:szCs w:val="32"/>
          <w:highlight w:val="none"/>
        </w:rPr>
      </w:pPr>
      <w:r>
        <w:rPr>
          <w:rFonts w:hint="eastAsia" w:ascii="仿宋_GB2312" w:hAnsi="仿宋_GB2312" w:eastAsia="仿宋_GB2312" w:cs="仿宋_GB2312"/>
          <w:color w:val="auto"/>
          <w:spacing w:val="12"/>
          <w:sz w:val="32"/>
          <w:szCs w:val="32"/>
          <w:highlight w:val="none"/>
        </w:rPr>
        <w:t>必</w:t>
      </w:r>
      <w:r>
        <w:rPr>
          <w:rFonts w:hint="eastAsia" w:ascii="仿宋_GB2312" w:hAnsi="仿宋_GB2312" w:eastAsia="仿宋_GB2312" w:cs="仿宋_GB2312"/>
          <w:color w:val="auto"/>
          <w:spacing w:val="8"/>
          <w:sz w:val="32"/>
          <w:szCs w:val="32"/>
          <w:highlight w:val="none"/>
        </w:rPr>
        <w:t>须配备灭火设备。赛场应具备良好的通风、照明和操</w:t>
      </w:r>
      <w:r>
        <w:rPr>
          <w:rFonts w:hint="eastAsia" w:ascii="仿宋_GB2312" w:hAnsi="仿宋_GB2312" w:eastAsia="仿宋_GB2312" w:cs="仿宋_GB2312"/>
          <w:color w:val="auto"/>
          <w:spacing w:val="16"/>
          <w:sz w:val="32"/>
          <w:szCs w:val="32"/>
          <w:highlight w:val="none"/>
        </w:rPr>
        <w:t>作</w:t>
      </w:r>
      <w:r>
        <w:rPr>
          <w:rFonts w:hint="eastAsia" w:ascii="仿宋_GB2312" w:hAnsi="仿宋_GB2312" w:eastAsia="仿宋_GB2312" w:cs="仿宋_GB2312"/>
          <w:color w:val="auto"/>
          <w:spacing w:val="14"/>
          <w:sz w:val="32"/>
          <w:szCs w:val="32"/>
          <w:highlight w:val="none"/>
        </w:rPr>
        <w:t>空</w:t>
      </w:r>
      <w:r>
        <w:rPr>
          <w:rFonts w:hint="eastAsia" w:ascii="仿宋_GB2312" w:hAnsi="仿宋_GB2312" w:eastAsia="仿宋_GB2312" w:cs="仿宋_GB2312"/>
          <w:color w:val="auto"/>
          <w:spacing w:val="8"/>
          <w:sz w:val="32"/>
          <w:szCs w:val="32"/>
          <w:highlight w:val="none"/>
        </w:rPr>
        <w:t>间的条件。做好竞赛安全、健康和公共卫生及突发事件</w:t>
      </w:r>
      <w:r>
        <w:rPr>
          <w:rFonts w:hint="eastAsia" w:ascii="仿宋_GB2312" w:hAnsi="仿宋_GB2312" w:eastAsia="仿宋_GB2312" w:cs="仿宋_GB2312"/>
          <w:color w:val="auto"/>
          <w:spacing w:val="7"/>
          <w:sz w:val="32"/>
          <w:szCs w:val="32"/>
          <w:highlight w:val="none"/>
        </w:rPr>
        <w:t>预防与应急处理等工作</w:t>
      </w:r>
      <w:r>
        <w:rPr>
          <w:rFonts w:hint="eastAsia" w:ascii="仿宋_GB2312" w:hAnsi="仿宋_GB2312" w:eastAsia="仿宋_GB2312" w:cs="仿宋_GB2312"/>
          <w:color w:val="auto"/>
          <w:spacing w:val="5"/>
          <w:sz w:val="32"/>
          <w:szCs w:val="32"/>
          <w:highlight w:val="none"/>
        </w:rPr>
        <w:t>。</w:t>
      </w:r>
    </w:p>
    <w:p w14:paraId="7F4C8BCA">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31" w:name="_bookmark23"/>
      <w:bookmarkEnd w:id="31"/>
      <w:bookmarkStart w:id="32" w:name="_Toc26168"/>
      <w:r>
        <w:rPr>
          <w:rFonts w:hint="eastAsia" w:ascii="楷体" w:hAnsi="楷体" w:eastAsia="楷体" w:cs="楷体"/>
          <w:b/>
          <w:bCs/>
          <w:color w:val="auto"/>
          <w:kern w:val="2"/>
          <w:sz w:val="32"/>
          <w:szCs w:val="32"/>
          <w:highlight w:val="none"/>
          <w:lang w:val="en-US" w:eastAsia="zh-CN" w:bidi="ar-SA"/>
        </w:rPr>
        <w:t>（四）医护人员和药品的配备</w:t>
      </w:r>
      <w:bookmarkEnd w:id="32"/>
    </w:p>
    <w:p w14:paraId="1572918D">
      <w:pPr>
        <w:pageBreakBefore w:val="0"/>
        <w:widowControl w:val="0"/>
        <w:kinsoku/>
        <w:wordWrap/>
        <w:overflowPunct/>
        <w:topLinePunct w:val="0"/>
        <w:autoSpaceDE/>
        <w:autoSpaceDN/>
        <w:bidi w:val="0"/>
        <w:adjustRightInd w:val="0"/>
        <w:snapToGrid w:val="0"/>
        <w:spacing w:line="600" w:lineRule="exact"/>
        <w:ind w:left="804"/>
        <w:textAlignment w:val="auto"/>
        <w:rPr>
          <w:rFonts w:hint="eastAsia" w:ascii="仿宋" w:hAnsi="仿宋" w:eastAsia="仿宋" w:cs="仿宋"/>
          <w:color w:val="auto"/>
          <w:sz w:val="32"/>
          <w:szCs w:val="32"/>
          <w:highlight w:val="none"/>
        </w:rPr>
      </w:pPr>
      <w:r>
        <w:rPr>
          <w:rFonts w:hint="eastAsia" w:ascii="仿宋_GB2312" w:hAnsi="仿宋_GB2312" w:eastAsia="仿宋_GB2312" w:cs="仿宋_GB2312"/>
          <w:color w:val="auto"/>
          <w:spacing w:val="11"/>
          <w:sz w:val="32"/>
          <w:szCs w:val="32"/>
          <w:highlight w:val="none"/>
        </w:rPr>
        <w:t>竞</w:t>
      </w:r>
      <w:r>
        <w:rPr>
          <w:rFonts w:hint="eastAsia" w:ascii="仿宋_GB2312" w:hAnsi="仿宋_GB2312" w:eastAsia="仿宋_GB2312" w:cs="仿宋_GB2312"/>
          <w:color w:val="auto"/>
          <w:spacing w:val="8"/>
          <w:sz w:val="32"/>
          <w:szCs w:val="32"/>
          <w:highlight w:val="none"/>
        </w:rPr>
        <w:t>赛现场必须配备必要的医务人员和药品。</w:t>
      </w:r>
    </w:p>
    <w:p w14:paraId="1C973EC0">
      <w:pPr>
        <w:pStyle w:val="5"/>
        <w:pageBreakBefore w:val="0"/>
        <w:widowControl w:val="0"/>
        <w:kinsoku/>
        <w:wordWrap/>
        <w:overflowPunct/>
        <w:topLinePunct w:val="0"/>
        <w:autoSpaceDE/>
        <w:autoSpaceDN/>
        <w:bidi w:val="0"/>
        <w:adjustRightInd w:val="0"/>
        <w:snapToGrid w:val="0"/>
        <w:spacing w:before="0" w:after="0" w:line="600" w:lineRule="exact"/>
        <w:ind w:left="640"/>
        <w:textAlignment w:val="auto"/>
        <w:rPr>
          <w:rFonts w:hint="eastAsia" w:ascii="仿宋" w:hAnsi="仿宋" w:eastAsia="仿宋" w:cs="仿宋"/>
          <w:color w:val="auto"/>
          <w:sz w:val="32"/>
          <w:szCs w:val="32"/>
          <w:highlight w:val="none"/>
        </w:rPr>
      </w:pPr>
      <w:bookmarkStart w:id="33" w:name="_bookmark24"/>
      <w:bookmarkEnd w:id="33"/>
      <w:bookmarkStart w:id="34" w:name="_Toc3703"/>
      <w:r>
        <w:rPr>
          <w:rFonts w:hint="eastAsia" w:ascii="楷体" w:hAnsi="楷体" w:eastAsia="楷体" w:cs="楷体"/>
          <w:b/>
          <w:bCs/>
          <w:color w:val="auto"/>
          <w:kern w:val="2"/>
          <w:sz w:val="32"/>
          <w:szCs w:val="32"/>
          <w:highlight w:val="none"/>
          <w:lang w:val="en-US" w:eastAsia="zh-CN" w:bidi="ar-SA"/>
        </w:rPr>
        <w:t>（五）赛场安全</w:t>
      </w:r>
      <w:bookmarkEnd w:id="34"/>
    </w:p>
    <w:p w14:paraId="2E7029CD">
      <w:pPr>
        <w:pageBreakBefore w:val="0"/>
        <w:widowControl w:val="0"/>
        <w:kinsoku/>
        <w:wordWrap/>
        <w:overflowPunct/>
        <w:topLinePunct w:val="0"/>
        <w:autoSpaceDE/>
        <w:autoSpaceDN/>
        <w:bidi w:val="0"/>
        <w:adjustRightInd w:val="0"/>
        <w:snapToGrid w:val="0"/>
        <w:spacing w:line="600" w:lineRule="exact"/>
        <w:ind w:left="155" w:right="136" w:firstLine="654"/>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4"/>
          <w:sz w:val="32"/>
          <w:szCs w:val="32"/>
          <w:highlight w:val="none"/>
        </w:rPr>
        <w:t>1</w:t>
      </w:r>
      <w:r>
        <w:rPr>
          <w:rFonts w:hint="eastAsia" w:ascii="仿宋_GB2312" w:hAnsi="仿宋_GB2312" w:eastAsia="仿宋_GB2312" w:cs="仿宋_GB2312"/>
          <w:color w:val="auto"/>
          <w:spacing w:val="13"/>
          <w:sz w:val="32"/>
          <w:szCs w:val="32"/>
          <w:highlight w:val="none"/>
        </w:rPr>
        <w:t>.</w:t>
      </w:r>
      <w:r>
        <w:rPr>
          <w:rFonts w:hint="eastAsia" w:ascii="仿宋_GB2312" w:hAnsi="仿宋_GB2312" w:eastAsia="仿宋_GB2312" w:cs="仿宋_GB2312"/>
          <w:color w:val="auto"/>
          <w:spacing w:val="7"/>
          <w:sz w:val="32"/>
          <w:szCs w:val="32"/>
          <w:highlight w:val="none"/>
        </w:rPr>
        <w:t>竞赛组委会须检查、消除赛场中存在的安全隐患，做</w:t>
      </w:r>
      <w:r>
        <w:rPr>
          <w:rFonts w:hint="eastAsia" w:ascii="仿宋_GB2312" w:hAnsi="仿宋_GB2312" w:eastAsia="仿宋_GB2312" w:cs="仿宋_GB2312"/>
          <w:color w:val="auto"/>
          <w:spacing w:val="8"/>
          <w:sz w:val="32"/>
          <w:szCs w:val="32"/>
          <w:highlight w:val="none"/>
        </w:rPr>
        <w:t>好各种可能出现的突发事件预案</w:t>
      </w:r>
      <w:r>
        <w:rPr>
          <w:rFonts w:hint="eastAsia" w:ascii="仿宋_GB2312" w:hAnsi="仿宋_GB2312" w:eastAsia="仿宋_GB2312" w:cs="仿宋_GB2312"/>
          <w:color w:val="auto"/>
          <w:spacing w:val="5"/>
          <w:sz w:val="32"/>
          <w:szCs w:val="32"/>
          <w:highlight w:val="none"/>
        </w:rPr>
        <w:t>。</w:t>
      </w:r>
    </w:p>
    <w:p w14:paraId="75E99E0A">
      <w:pPr>
        <w:pageBreakBefore w:val="0"/>
        <w:widowControl w:val="0"/>
        <w:kinsoku/>
        <w:wordWrap/>
        <w:overflowPunct/>
        <w:topLinePunct w:val="0"/>
        <w:autoSpaceDE/>
        <w:autoSpaceDN/>
        <w:bidi w:val="0"/>
        <w:adjustRightInd w:val="0"/>
        <w:snapToGrid w:val="0"/>
        <w:spacing w:line="600" w:lineRule="exact"/>
        <w:ind w:left="158" w:right="136" w:firstLine="63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5"/>
          <w:sz w:val="32"/>
          <w:szCs w:val="32"/>
          <w:highlight w:val="none"/>
        </w:rPr>
        <w:t>2</w:t>
      </w:r>
      <w:r>
        <w:rPr>
          <w:rFonts w:hint="eastAsia" w:ascii="仿宋_GB2312" w:hAnsi="仿宋_GB2312" w:eastAsia="仿宋_GB2312" w:cs="仿宋_GB2312"/>
          <w:color w:val="auto"/>
          <w:spacing w:val="8"/>
          <w:sz w:val="32"/>
          <w:szCs w:val="32"/>
          <w:highlight w:val="none"/>
        </w:rPr>
        <w:t>.竞赛过程中，赛场内的工作人员有责任对选手的操作</w:t>
      </w:r>
      <w:r>
        <w:rPr>
          <w:rFonts w:hint="eastAsia" w:ascii="仿宋_GB2312" w:hAnsi="仿宋_GB2312" w:eastAsia="仿宋_GB2312" w:cs="仿宋_GB2312"/>
          <w:color w:val="auto"/>
          <w:spacing w:val="16"/>
          <w:sz w:val="32"/>
          <w:szCs w:val="32"/>
          <w:highlight w:val="none"/>
        </w:rPr>
        <w:t>安</w:t>
      </w:r>
      <w:r>
        <w:rPr>
          <w:rFonts w:hint="eastAsia" w:ascii="仿宋_GB2312" w:hAnsi="仿宋_GB2312" w:eastAsia="仿宋_GB2312" w:cs="仿宋_GB2312"/>
          <w:color w:val="auto"/>
          <w:spacing w:val="10"/>
          <w:sz w:val="32"/>
          <w:szCs w:val="32"/>
          <w:highlight w:val="none"/>
        </w:rPr>
        <w:t>全</w:t>
      </w:r>
      <w:r>
        <w:rPr>
          <w:rFonts w:hint="eastAsia" w:ascii="仿宋_GB2312" w:hAnsi="仿宋_GB2312" w:eastAsia="仿宋_GB2312" w:cs="仿宋_GB2312"/>
          <w:color w:val="auto"/>
          <w:spacing w:val="8"/>
          <w:sz w:val="32"/>
          <w:szCs w:val="32"/>
          <w:highlight w:val="none"/>
        </w:rPr>
        <w:t>进行监护，发现问题及时制止，避免发生人身或设备安</w:t>
      </w:r>
      <w:r>
        <w:rPr>
          <w:rFonts w:hint="eastAsia" w:ascii="仿宋_GB2312" w:hAnsi="仿宋_GB2312" w:eastAsia="仿宋_GB2312" w:cs="仿宋_GB2312"/>
          <w:color w:val="auto"/>
          <w:spacing w:val="1"/>
          <w:sz w:val="32"/>
          <w:szCs w:val="32"/>
          <w:highlight w:val="none"/>
        </w:rPr>
        <w:t>全事故。</w:t>
      </w:r>
    </w:p>
    <w:p w14:paraId="1AD4F95F">
      <w:pPr>
        <w:pageBreakBefore w:val="0"/>
        <w:widowControl w:val="0"/>
        <w:kinsoku/>
        <w:wordWrap/>
        <w:overflowPunct/>
        <w:topLinePunct w:val="0"/>
        <w:autoSpaceDE/>
        <w:autoSpaceDN/>
        <w:bidi w:val="0"/>
        <w:adjustRightInd w:val="0"/>
        <w:snapToGrid w:val="0"/>
        <w:spacing w:line="600" w:lineRule="exact"/>
        <w:ind w:left="157" w:right="136" w:firstLine="634"/>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3"/>
          <w:sz w:val="32"/>
          <w:szCs w:val="32"/>
          <w:highlight w:val="none"/>
        </w:rPr>
        <w:t>3</w:t>
      </w:r>
      <w:r>
        <w:rPr>
          <w:rFonts w:hint="eastAsia" w:ascii="仿宋_GB2312" w:hAnsi="仿宋_GB2312" w:eastAsia="仿宋_GB2312" w:cs="仿宋_GB2312"/>
          <w:color w:val="auto"/>
          <w:spacing w:val="8"/>
          <w:sz w:val="32"/>
          <w:szCs w:val="32"/>
          <w:highlight w:val="none"/>
        </w:rPr>
        <w:t>.竞赛过程中，裁判组有责任对选手使用的设备安全进</w:t>
      </w:r>
      <w:r>
        <w:rPr>
          <w:rFonts w:hint="eastAsia" w:ascii="仿宋_GB2312" w:hAnsi="仿宋_GB2312" w:eastAsia="仿宋_GB2312" w:cs="仿宋_GB2312"/>
          <w:color w:val="auto"/>
          <w:spacing w:val="16"/>
          <w:sz w:val="32"/>
          <w:szCs w:val="32"/>
          <w:highlight w:val="none"/>
        </w:rPr>
        <w:t>行</w:t>
      </w:r>
      <w:r>
        <w:rPr>
          <w:rFonts w:hint="eastAsia" w:ascii="仿宋_GB2312" w:hAnsi="仿宋_GB2312" w:eastAsia="仿宋_GB2312" w:cs="仿宋_GB2312"/>
          <w:color w:val="auto"/>
          <w:spacing w:val="9"/>
          <w:sz w:val="32"/>
          <w:szCs w:val="32"/>
          <w:highlight w:val="none"/>
        </w:rPr>
        <w:t>监</w:t>
      </w:r>
      <w:r>
        <w:rPr>
          <w:rFonts w:hint="eastAsia" w:ascii="仿宋_GB2312" w:hAnsi="仿宋_GB2312" w:eastAsia="仿宋_GB2312" w:cs="仿宋_GB2312"/>
          <w:color w:val="auto"/>
          <w:spacing w:val="8"/>
          <w:sz w:val="32"/>
          <w:szCs w:val="32"/>
          <w:highlight w:val="none"/>
        </w:rPr>
        <w:t>护，发现问题及时制止，避免发生设备损坏。</w:t>
      </w:r>
    </w:p>
    <w:p w14:paraId="74A87F72">
      <w:pPr>
        <w:pStyle w:val="2"/>
        <w:pageBreakBefore w:val="0"/>
        <w:widowControl w:val="0"/>
        <w:kinsoku/>
        <w:wordWrap/>
        <w:overflowPunct/>
        <w:topLinePunct w:val="0"/>
        <w:autoSpaceDE/>
        <w:autoSpaceDN/>
        <w:bidi w:val="0"/>
        <w:adjustRightInd w:val="0"/>
        <w:snapToGrid w:val="0"/>
        <w:spacing w:line="600" w:lineRule="exact"/>
        <w:ind w:firstLine="0" w:firstLineChars="0"/>
        <w:textAlignment w:val="auto"/>
        <w:rPr>
          <w:rFonts w:hint="eastAsia" w:ascii="仿宋_GB2312" w:hAnsi="仿宋_GB2312" w:eastAsia="仿宋_GB2312" w:cs="仿宋_GB2312"/>
          <w:color w:val="auto"/>
          <w:sz w:val="32"/>
          <w:szCs w:val="32"/>
          <w:highlight w:val="none"/>
        </w:rPr>
      </w:pPr>
    </w:p>
    <w:p w14:paraId="4B6B97BB">
      <w:pPr>
        <w:rPr>
          <w:rFonts w:hint="eastAsia" w:ascii="黑体" w:hAnsi="黑体" w:eastAsia="黑体" w:cs="黑体"/>
          <w:b w:val="0"/>
          <w:bCs/>
          <w:color w:val="auto"/>
          <w:sz w:val="32"/>
          <w:szCs w:val="32"/>
          <w:highlight w:val="none"/>
        </w:rPr>
      </w:pPr>
      <w:bookmarkStart w:id="35" w:name="_Toc599"/>
      <w:r>
        <w:rPr>
          <w:rFonts w:hint="eastAsia" w:ascii="黑体" w:hAnsi="黑体" w:eastAsia="黑体" w:cs="黑体"/>
          <w:b w:val="0"/>
          <w:bCs/>
          <w:color w:val="auto"/>
          <w:sz w:val="32"/>
          <w:szCs w:val="32"/>
          <w:highlight w:val="none"/>
        </w:rPr>
        <w:br w:type="page"/>
      </w:r>
    </w:p>
    <w:p w14:paraId="765F930A">
      <w:pPr>
        <w:pStyle w:val="4"/>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附件1 化学实验室技术项目竞赛样题</w:t>
      </w:r>
      <w:bookmarkEnd w:id="35"/>
    </w:p>
    <w:p w14:paraId="172EB297">
      <w:pPr>
        <w:adjustRightInd w:val="0"/>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模块A</w:t>
      </w:r>
      <w:bookmarkStart w:id="36" w:name="_Hlk134085695"/>
      <w:r>
        <w:rPr>
          <w:rFonts w:hint="eastAsia" w:ascii="仿宋_GB2312" w:hAnsi="仿宋_GB2312" w:eastAsia="仿宋_GB2312" w:cs="仿宋_GB2312"/>
          <w:b/>
          <w:bCs/>
          <w:color w:val="auto"/>
          <w:sz w:val="32"/>
          <w:szCs w:val="32"/>
          <w:highlight w:val="none"/>
        </w:rPr>
        <w:t>化学分析法测定样品中的组分含量</w:t>
      </w:r>
      <w:bookmarkEnd w:id="36"/>
    </w:p>
    <w:p w14:paraId="508B39F0">
      <w:pPr>
        <w:pStyle w:val="2"/>
        <w:ind w:firstLine="640"/>
        <w:rPr>
          <w:rFonts w:hint="eastAsia" w:ascii="仿宋_GB2312" w:hAnsi="仿宋_GB2312" w:eastAsia="仿宋_GB2312" w:cs="仿宋_GB2312"/>
          <w:color w:val="auto"/>
          <w:sz w:val="32"/>
          <w:szCs w:val="32"/>
          <w:highlight w:val="none"/>
        </w:rPr>
      </w:pPr>
    </w:p>
    <w:p w14:paraId="502004A5">
      <w:pPr>
        <w:adjustRightInd w:val="0"/>
        <w:snapToGrid w:val="0"/>
        <w:spacing w:line="360" w:lineRule="auto"/>
        <w:ind w:left="681"/>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position w:val="3"/>
          <w:sz w:val="32"/>
          <w:szCs w:val="32"/>
          <w:highlight w:val="none"/>
        </w:rPr>
        <w:t>一</w:t>
      </w:r>
      <w:r>
        <w:rPr>
          <w:rFonts w:hint="eastAsia" w:ascii="仿宋_GB2312" w:hAnsi="仿宋_GB2312" w:eastAsia="仿宋_GB2312" w:cs="仿宋_GB2312"/>
          <w:color w:val="auto"/>
          <w:spacing w:val="5"/>
          <w:position w:val="3"/>
          <w:sz w:val="32"/>
          <w:szCs w:val="32"/>
          <w:highlight w:val="none"/>
        </w:rPr>
        <w:t>、竞赛要求</w:t>
      </w:r>
    </w:p>
    <w:p w14:paraId="30D8F470">
      <w:pPr>
        <w:adjustRightInd w:val="0"/>
        <w:snapToGrid w:val="0"/>
        <w:spacing w:line="360" w:lineRule="auto"/>
        <w:ind w:left="35" w:right="105" w:firstLine="644"/>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4"/>
          <w:sz w:val="32"/>
          <w:szCs w:val="32"/>
          <w:highlight w:val="none"/>
        </w:rPr>
        <w:t>选</w:t>
      </w:r>
      <w:r>
        <w:rPr>
          <w:rFonts w:hint="eastAsia" w:ascii="仿宋_GB2312" w:hAnsi="仿宋_GB2312" w:eastAsia="仿宋_GB2312" w:cs="仿宋_GB2312"/>
          <w:color w:val="auto"/>
          <w:spacing w:val="8"/>
          <w:sz w:val="32"/>
          <w:szCs w:val="32"/>
          <w:highlight w:val="none"/>
        </w:rPr>
        <w:t>手须根据赛题要求独立完成实验并编辑、提交工作报</w:t>
      </w:r>
      <w:r>
        <w:rPr>
          <w:rFonts w:hint="eastAsia" w:ascii="仿宋_GB2312" w:hAnsi="仿宋_GB2312" w:eastAsia="仿宋_GB2312" w:cs="仿宋_GB2312"/>
          <w:color w:val="auto"/>
          <w:spacing w:val="-7"/>
          <w:sz w:val="32"/>
          <w:szCs w:val="32"/>
          <w:highlight w:val="none"/>
        </w:rPr>
        <w:t>告</w:t>
      </w:r>
      <w:r>
        <w:rPr>
          <w:rFonts w:hint="eastAsia" w:ascii="仿宋_GB2312" w:hAnsi="仿宋_GB2312" w:eastAsia="仿宋_GB2312" w:cs="仿宋_GB2312"/>
          <w:color w:val="auto"/>
          <w:spacing w:val="-6"/>
          <w:sz w:val="32"/>
          <w:szCs w:val="32"/>
          <w:highlight w:val="none"/>
        </w:rPr>
        <w:t>。</w:t>
      </w:r>
    </w:p>
    <w:p w14:paraId="18D459BA">
      <w:pPr>
        <w:adjustRightInd w:val="0"/>
        <w:snapToGrid w:val="0"/>
        <w:spacing w:line="360" w:lineRule="auto"/>
        <w:ind w:left="686"/>
        <w:outlineLvl w:val="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position w:val="2"/>
          <w:sz w:val="32"/>
          <w:szCs w:val="32"/>
          <w:highlight w:val="none"/>
        </w:rPr>
        <w:t>二</w:t>
      </w:r>
      <w:r>
        <w:rPr>
          <w:rFonts w:hint="eastAsia" w:ascii="仿宋_GB2312" w:hAnsi="仿宋_GB2312" w:eastAsia="仿宋_GB2312" w:cs="仿宋_GB2312"/>
          <w:color w:val="auto"/>
          <w:spacing w:val="4"/>
          <w:position w:val="2"/>
          <w:sz w:val="32"/>
          <w:szCs w:val="32"/>
          <w:highlight w:val="none"/>
        </w:rPr>
        <w:t>、竞赛内容</w:t>
      </w:r>
    </w:p>
    <w:p w14:paraId="0A34085C">
      <w:pPr>
        <w:adjustRightInd w:val="0"/>
        <w:snapToGrid w:val="0"/>
        <w:spacing w:line="360" w:lineRule="auto"/>
        <w:ind w:left="689"/>
        <w:outlineLvl w:val="1"/>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3"/>
          <w:position w:val="2"/>
          <w:sz w:val="32"/>
          <w:szCs w:val="32"/>
          <w:highlight w:val="none"/>
        </w:rPr>
        <w:t>1</w:t>
      </w:r>
      <w:r>
        <w:rPr>
          <w:rFonts w:hint="eastAsia" w:ascii="仿宋_GB2312" w:hAnsi="仿宋_GB2312" w:eastAsia="仿宋_GB2312" w:cs="仿宋_GB2312"/>
          <w:color w:val="auto"/>
          <w:spacing w:val="2"/>
          <w:position w:val="2"/>
          <w:sz w:val="32"/>
          <w:szCs w:val="32"/>
          <w:highlight w:val="none"/>
        </w:rPr>
        <w:t>.技术要求</w:t>
      </w:r>
    </w:p>
    <w:p w14:paraId="15E58D81">
      <w:pPr>
        <w:adjustRightInd w:val="0"/>
        <w:snapToGrid w:val="0"/>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3"/>
          <w:sz w:val="32"/>
          <w:szCs w:val="32"/>
          <w:highlight w:val="none"/>
        </w:rPr>
        <w:t>(</w:t>
      </w:r>
      <w:r>
        <w:rPr>
          <w:rFonts w:hint="eastAsia" w:ascii="仿宋_GB2312" w:hAnsi="仿宋_GB2312" w:eastAsia="仿宋_GB2312" w:cs="仿宋_GB2312"/>
          <w:color w:val="auto"/>
          <w:spacing w:val="19"/>
          <w:sz w:val="32"/>
          <w:szCs w:val="32"/>
          <w:highlight w:val="none"/>
        </w:rPr>
        <w:t>1)配制相关溶液；</w:t>
      </w:r>
    </w:p>
    <w:p w14:paraId="1D6B695B">
      <w:pPr>
        <w:adjustRightInd w:val="0"/>
        <w:snapToGrid w:val="0"/>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w:t>
      </w:r>
      <w:r>
        <w:rPr>
          <w:rFonts w:hint="eastAsia" w:ascii="仿宋_GB2312" w:hAnsi="仿宋_GB2312" w:eastAsia="仿宋_GB2312" w:cs="仿宋_GB2312"/>
          <w:color w:val="auto"/>
          <w:spacing w:val="20"/>
          <w:sz w:val="32"/>
          <w:szCs w:val="32"/>
          <w:highlight w:val="none"/>
        </w:rPr>
        <w:t>2)标定标准</w:t>
      </w:r>
      <w:r>
        <w:rPr>
          <w:rFonts w:hint="eastAsia" w:ascii="仿宋_GB2312" w:hAnsi="仿宋_GB2312" w:eastAsia="仿宋_GB2312" w:cs="仿宋_GB2312"/>
          <w:color w:val="auto"/>
          <w:spacing w:val="20"/>
          <w:sz w:val="32"/>
          <w:szCs w:val="32"/>
          <w:highlight w:val="none"/>
          <w:lang w:val="en-US" w:eastAsia="zh-CN"/>
        </w:rPr>
        <w:t>滴定</w:t>
      </w:r>
      <w:r>
        <w:rPr>
          <w:rFonts w:hint="eastAsia" w:ascii="仿宋_GB2312" w:hAnsi="仿宋_GB2312" w:eastAsia="仿宋_GB2312" w:cs="仿宋_GB2312"/>
          <w:color w:val="auto"/>
          <w:spacing w:val="20"/>
          <w:sz w:val="32"/>
          <w:szCs w:val="32"/>
          <w:highlight w:val="none"/>
        </w:rPr>
        <w:t>溶液；</w:t>
      </w:r>
    </w:p>
    <w:p w14:paraId="0EF2382A">
      <w:pPr>
        <w:adjustRightInd w:val="0"/>
        <w:snapToGrid w:val="0"/>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8"/>
          <w:sz w:val="32"/>
          <w:szCs w:val="32"/>
          <w:highlight w:val="none"/>
        </w:rPr>
        <w:t>(3)</w:t>
      </w:r>
      <w:r>
        <w:rPr>
          <w:rFonts w:hint="eastAsia" w:ascii="仿宋_GB2312" w:hAnsi="仿宋_GB2312" w:eastAsia="仿宋_GB2312" w:cs="仿宋_GB2312"/>
          <w:color w:val="auto"/>
          <w:spacing w:val="16"/>
          <w:sz w:val="32"/>
          <w:szCs w:val="32"/>
          <w:highlight w:val="none"/>
        </w:rPr>
        <w:t>测定样品中待测组分的含量；</w:t>
      </w:r>
    </w:p>
    <w:p w14:paraId="769332FA">
      <w:pPr>
        <w:adjustRightInd w:val="0"/>
        <w:snapToGrid w:val="0"/>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7"/>
          <w:sz w:val="32"/>
          <w:szCs w:val="32"/>
          <w:highlight w:val="none"/>
        </w:rPr>
        <w:t>(</w:t>
      </w:r>
      <w:r>
        <w:rPr>
          <w:rFonts w:hint="eastAsia" w:ascii="仿宋_GB2312" w:hAnsi="仿宋_GB2312" w:eastAsia="仿宋_GB2312" w:cs="仿宋_GB2312"/>
          <w:color w:val="auto"/>
          <w:spacing w:val="16"/>
          <w:sz w:val="32"/>
          <w:szCs w:val="32"/>
          <w:highlight w:val="none"/>
        </w:rPr>
        <w:t>4)</w:t>
      </w:r>
      <w:r>
        <w:rPr>
          <w:rFonts w:hint="eastAsia" w:ascii="仿宋_GB2312" w:hAnsi="仿宋_GB2312" w:eastAsia="仿宋_GB2312" w:cs="仿宋_GB2312"/>
          <w:color w:val="auto"/>
          <w:spacing w:val="17"/>
          <w:sz w:val="32"/>
          <w:szCs w:val="32"/>
          <w:highlight w:val="none"/>
        </w:rPr>
        <w:t>编辑并提交工作报告。</w:t>
      </w:r>
    </w:p>
    <w:p w14:paraId="4D3EA3BD">
      <w:pPr>
        <w:adjustRightInd w:val="0"/>
        <w:snapToGrid w:val="0"/>
        <w:spacing w:line="360" w:lineRule="auto"/>
        <w:ind w:left="669"/>
        <w:outlineLvl w:val="1"/>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position w:val="2"/>
          <w:sz w:val="32"/>
          <w:szCs w:val="32"/>
          <w:highlight w:val="none"/>
        </w:rPr>
        <w:t>2</w:t>
      </w:r>
      <w:r>
        <w:rPr>
          <w:rFonts w:hint="eastAsia" w:ascii="仿宋_GB2312" w:hAnsi="仿宋_GB2312" w:eastAsia="仿宋_GB2312" w:cs="仿宋_GB2312"/>
          <w:color w:val="auto"/>
          <w:spacing w:val="5"/>
          <w:position w:val="2"/>
          <w:sz w:val="32"/>
          <w:szCs w:val="32"/>
          <w:highlight w:val="none"/>
        </w:rPr>
        <w:t>.竞赛时间</w:t>
      </w:r>
    </w:p>
    <w:p w14:paraId="7588AD21">
      <w:pPr>
        <w:adjustRightInd w:val="0"/>
        <w:snapToGrid w:val="0"/>
        <w:spacing w:line="360" w:lineRule="auto"/>
        <w:ind w:left="41" w:firstLine="648"/>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总</w:t>
      </w:r>
      <w:r>
        <w:rPr>
          <w:rFonts w:hint="eastAsia" w:ascii="仿宋_GB2312" w:hAnsi="仿宋_GB2312" w:eastAsia="仿宋_GB2312" w:cs="仿宋_GB2312"/>
          <w:color w:val="auto"/>
          <w:spacing w:val="-6"/>
          <w:sz w:val="32"/>
          <w:szCs w:val="32"/>
          <w:highlight w:val="none"/>
        </w:rPr>
        <w:t>时间为</w:t>
      </w:r>
      <w:r>
        <w:rPr>
          <w:rFonts w:hint="eastAsia" w:ascii="仿宋_GB2312" w:hAnsi="仿宋_GB2312" w:eastAsia="仿宋_GB2312" w:cs="仿宋_GB2312"/>
          <w:color w:val="auto"/>
          <w:spacing w:val="-6"/>
          <w:sz w:val="32"/>
          <w:szCs w:val="32"/>
          <w:highlight w:val="none"/>
          <w:lang w:val="en-US" w:eastAsia="zh-CN"/>
        </w:rPr>
        <w:t>180min</w:t>
      </w:r>
      <w:r>
        <w:rPr>
          <w:rFonts w:hint="eastAsia" w:ascii="仿宋_GB2312" w:hAnsi="仿宋_GB2312" w:eastAsia="仿宋_GB2312" w:cs="仿宋_GB2312"/>
          <w:color w:val="auto"/>
          <w:spacing w:val="-6"/>
          <w:sz w:val="32"/>
          <w:szCs w:val="32"/>
          <w:highlight w:val="none"/>
        </w:rPr>
        <w:t>，包括实验准备时间、样品测定时间、</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5"/>
          <w:sz w:val="32"/>
          <w:szCs w:val="32"/>
          <w:highlight w:val="none"/>
        </w:rPr>
        <w:t>结</w:t>
      </w:r>
      <w:r>
        <w:rPr>
          <w:rFonts w:hint="eastAsia" w:ascii="仿宋_GB2312" w:hAnsi="仿宋_GB2312" w:eastAsia="仿宋_GB2312" w:cs="仿宋_GB2312"/>
          <w:color w:val="auto"/>
          <w:spacing w:val="8"/>
          <w:sz w:val="32"/>
          <w:szCs w:val="32"/>
          <w:highlight w:val="none"/>
        </w:rPr>
        <w:t>果处理与报告编辑时间、实验工位清洁整理时间。</w:t>
      </w:r>
    </w:p>
    <w:p w14:paraId="0F40C39D">
      <w:pPr>
        <w:adjustRightInd w:val="0"/>
        <w:snapToGrid w:val="0"/>
        <w:spacing w:line="360" w:lineRule="auto"/>
        <w:ind w:left="672"/>
        <w:outlineLvl w:val="1"/>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5"/>
          <w:position w:val="2"/>
          <w:sz w:val="32"/>
          <w:szCs w:val="32"/>
          <w:highlight w:val="none"/>
        </w:rPr>
        <w:t>3.技术支撑</w:t>
      </w:r>
    </w:p>
    <w:p w14:paraId="68D4623A">
      <w:pPr>
        <w:adjustRightInd w:val="0"/>
        <w:snapToGrid w:val="0"/>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8"/>
          <w:sz w:val="32"/>
          <w:szCs w:val="32"/>
          <w:highlight w:val="none"/>
        </w:rPr>
        <w:t>(</w:t>
      </w:r>
      <w:r>
        <w:rPr>
          <w:rFonts w:hint="eastAsia" w:ascii="仿宋_GB2312" w:hAnsi="仿宋_GB2312" w:eastAsia="仿宋_GB2312" w:cs="仿宋_GB2312"/>
          <w:color w:val="auto"/>
          <w:spacing w:val="22"/>
          <w:sz w:val="32"/>
          <w:szCs w:val="32"/>
          <w:highlight w:val="none"/>
        </w:rPr>
        <w:t>1)仪器、试剂</w:t>
      </w:r>
    </w:p>
    <w:p w14:paraId="677C786D">
      <w:pPr>
        <w:adjustRightInd w:val="0"/>
        <w:snapToGrid w:val="0"/>
        <w:spacing w:line="360" w:lineRule="auto"/>
        <w:ind w:left="32" w:right="410" w:firstLine="644"/>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9"/>
          <w:sz w:val="32"/>
          <w:szCs w:val="32"/>
          <w:highlight w:val="none"/>
        </w:rPr>
        <w:t>本模块用到的仪器与试剂、耗材见本技术工作文件</w:t>
      </w:r>
      <w:r>
        <w:rPr>
          <w:rFonts w:hint="eastAsia" w:ascii="仿宋_GB2312" w:hAnsi="仿宋_GB2312" w:eastAsia="仿宋_GB2312" w:cs="仿宋_GB2312"/>
          <w:color w:val="auto"/>
          <w:spacing w:val="7"/>
          <w:sz w:val="32"/>
          <w:szCs w:val="32"/>
          <w:highlight w:val="none"/>
        </w:rPr>
        <w:t>中</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8"/>
          <w:sz w:val="32"/>
          <w:szCs w:val="32"/>
          <w:highlight w:val="none"/>
        </w:rPr>
        <w:t>《基础设施清单》和《试剂、溶液清单》</w:t>
      </w:r>
      <w:r>
        <w:rPr>
          <w:rFonts w:hint="eastAsia" w:ascii="仿宋_GB2312" w:hAnsi="仿宋_GB2312" w:eastAsia="仿宋_GB2312" w:cs="仿宋_GB2312"/>
          <w:color w:val="auto"/>
          <w:spacing w:val="5"/>
          <w:sz w:val="32"/>
          <w:szCs w:val="32"/>
          <w:highlight w:val="none"/>
        </w:rPr>
        <w:t>。</w:t>
      </w:r>
    </w:p>
    <w:p w14:paraId="00EE305A">
      <w:pPr>
        <w:adjustRightInd w:val="0"/>
        <w:snapToGrid w:val="0"/>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(2)实验准备</w:t>
      </w:r>
    </w:p>
    <w:p w14:paraId="064A0C0A">
      <w:pPr>
        <w:adjustRightInd w:val="0"/>
        <w:snapToGrid w:val="0"/>
        <w:spacing w:line="360" w:lineRule="auto"/>
        <w:ind w:left="67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根据赛题要求</w:t>
      </w:r>
      <w:r>
        <w:rPr>
          <w:rFonts w:hint="eastAsia" w:ascii="仿宋_GB2312" w:hAnsi="仿宋_GB2312" w:eastAsia="仿宋_GB2312" w:cs="仿宋_GB2312"/>
          <w:color w:val="auto"/>
          <w:spacing w:val="8"/>
          <w:sz w:val="32"/>
          <w:szCs w:val="32"/>
          <w:highlight w:val="none"/>
        </w:rPr>
        <w:t>配制相关溶液，</w:t>
      </w:r>
      <w:r>
        <w:rPr>
          <w:rFonts w:hint="eastAsia" w:ascii="仿宋_GB2312" w:hAnsi="仿宋_GB2312" w:eastAsia="仿宋_GB2312" w:cs="仿宋_GB2312"/>
          <w:color w:val="auto"/>
          <w:sz w:val="32"/>
          <w:szCs w:val="32"/>
          <w:highlight w:val="none"/>
        </w:rPr>
        <w:t xml:space="preserve"> </w:t>
      </w:r>
    </w:p>
    <w:p w14:paraId="5B320766">
      <w:pPr>
        <w:adjustRightInd w:val="0"/>
        <w:snapToGrid w:val="0"/>
        <w:spacing w:line="360" w:lineRule="auto"/>
        <w:ind w:left="674"/>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根据赛题要求</w:t>
      </w:r>
      <w:r>
        <w:rPr>
          <w:rFonts w:hint="eastAsia" w:ascii="仿宋_GB2312" w:hAnsi="仿宋_GB2312" w:eastAsia="仿宋_GB2312" w:cs="仿宋_GB2312"/>
          <w:color w:val="auto"/>
          <w:spacing w:val="20"/>
          <w:sz w:val="32"/>
          <w:szCs w:val="32"/>
          <w:highlight w:val="none"/>
        </w:rPr>
        <w:t>标定标准溶液</w:t>
      </w:r>
      <w:r>
        <w:rPr>
          <w:rFonts w:hint="eastAsia" w:ascii="仿宋_GB2312" w:hAnsi="仿宋_GB2312" w:eastAsia="仿宋_GB2312" w:cs="仿宋_GB2312"/>
          <w:color w:val="auto"/>
          <w:spacing w:val="6"/>
          <w:sz w:val="32"/>
          <w:szCs w:val="32"/>
          <w:highlight w:val="none"/>
        </w:rPr>
        <w:t>。</w:t>
      </w:r>
    </w:p>
    <w:p w14:paraId="0210D808">
      <w:pPr>
        <w:adjustRightInd w:val="0"/>
        <w:snapToGrid w:val="0"/>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(3)样品测定</w:t>
      </w:r>
    </w:p>
    <w:p w14:paraId="62BFC7B8">
      <w:pPr>
        <w:adjustRightInd w:val="0"/>
        <w:snapToGrid w:val="0"/>
        <w:spacing w:line="360" w:lineRule="auto"/>
        <w:ind w:left="40" w:right="16" w:firstLine="636"/>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取</w:t>
      </w:r>
      <w:r>
        <w:rPr>
          <w:rFonts w:hint="eastAsia" w:ascii="仿宋_GB2312" w:hAnsi="仿宋_GB2312" w:eastAsia="仿宋_GB2312" w:cs="仿宋_GB2312"/>
          <w:color w:val="auto"/>
          <w:spacing w:val="8"/>
          <w:sz w:val="32"/>
          <w:szCs w:val="32"/>
          <w:highlight w:val="none"/>
        </w:rPr>
        <w:t>适量的样品，按照赛题的要求进行样品的前处理</w:t>
      </w:r>
      <w:r>
        <w:rPr>
          <w:rFonts w:hint="eastAsia" w:ascii="仿宋_GB2312" w:hAnsi="仿宋_GB2312" w:eastAsia="仿宋_GB2312" w:cs="仿宋_GB2312"/>
          <w:color w:val="auto"/>
          <w:spacing w:val="5"/>
          <w:sz w:val="32"/>
          <w:szCs w:val="32"/>
          <w:highlight w:val="none"/>
        </w:rPr>
        <w:t>，正确判断滴定终点，记录消耗标准溶液的体积，完成平行测定。</w:t>
      </w:r>
    </w:p>
    <w:p w14:paraId="2F0396F8">
      <w:pPr>
        <w:adjustRightInd w:val="0"/>
        <w:snapToGrid w:val="0"/>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(4)结果计算</w:t>
      </w:r>
    </w:p>
    <w:p w14:paraId="4AB8FE21">
      <w:pPr>
        <w:adjustRightInd w:val="0"/>
        <w:snapToGrid w:val="0"/>
        <w:spacing w:line="360" w:lineRule="auto"/>
        <w:ind w:left="76" w:right="16" w:firstLine="6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根</w:t>
      </w:r>
      <w:r>
        <w:rPr>
          <w:rFonts w:hint="eastAsia" w:ascii="仿宋_GB2312" w:hAnsi="仿宋_GB2312" w:eastAsia="仿宋_GB2312" w:cs="仿宋_GB2312"/>
          <w:color w:val="auto"/>
          <w:spacing w:val="8"/>
          <w:sz w:val="32"/>
          <w:szCs w:val="32"/>
          <w:highlight w:val="none"/>
        </w:rPr>
        <w:t>据标准溶液的标定结果，样品测定时消耗标准溶液体积以及样品的前处理过程，计算样品中</w:t>
      </w:r>
      <w:r>
        <w:rPr>
          <w:rFonts w:hint="eastAsia" w:ascii="仿宋_GB2312" w:hAnsi="仿宋_GB2312" w:eastAsia="仿宋_GB2312" w:cs="仿宋_GB2312"/>
          <w:color w:val="auto"/>
          <w:sz w:val="32"/>
          <w:szCs w:val="32"/>
          <w:highlight w:val="none"/>
        </w:rPr>
        <w:t>待测</w:t>
      </w:r>
      <w:r>
        <w:rPr>
          <w:rFonts w:hint="eastAsia" w:ascii="仿宋_GB2312" w:hAnsi="仿宋_GB2312" w:eastAsia="仿宋_GB2312" w:cs="仿宋_GB2312"/>
          <w:color w:val="auto"/>
          <w:spacing w:val="6"/>
          <w:sz w:val="32"/>
          <w:szCs w:val="32"/>
          <w:highlight w:val="none"/>
        </w:rPr>
        <w:t>组分的含量，并评估测定的重复性。</w:t>
      </w:r>
    </w:p>
    <w:p w14:paraId="7898AF78">
      <w:pPr>
        <w:adjustRightInd w:val="0"/>
        <w:snapToGrid w:val="0"/>
        <w:spacing w:line="360" w:lineRule="auto"/>
        <w:ind w:left="664"/>
        <w:outlineLvl w:val="1"/>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position w:val="2"/>
          <w:sz w:val="32"/>
          <w:szCs w:val="32"/>
          <w:highlight w:val="none"/>
        </w:rPr>
        <w:t>4</w:t>
      </w:r>
      <w:r>
        <w:rPr>
          <w:rFonts w:hint="eastAsia" w:ascii="仿宋_GB2312" w:hAnsi="仿宋_GB2312" w:eastAsia="仿宋_GB2312" w:cs="仿宋_GB2312"/>
          <w:color w:val="auto"/>
          <w:spacing w:val="6"/>
          <w:position w:val="2"/>
          <w:sz w:val="32"/>
          <w:szCs w:val="32"/>
          <w:highlight w:val="none"/>
        </w:rPr>
        <w:t>.提交报告</w:t>
      </w:r>
    </w:p>
    <w:p w14:paraId="48141F03">
      <w:pPr>
        <w:adjustRightInd w:val="0"/>
        <w:snapToGrid w:val="0"/>
        <w:spacing w:line="360" w:lineRule="auto"/>
        <w:ind w:left="35" w:right="16"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sz w:val="32"/>
          <w:szCs w:val="32"/>
          <w:highlight w:val="none"/>
        </w:rPr>
        <w:t>(1)按照行业规范撰写实验报告，内容包括：</w:t>
      </w:r>
      <w:r>
        <w:rPr>
          <w:rFonts w:hint="eastAsia" w:ascii="仿宋_GB2312" w:hAnsi="仿宋_GB2312" w:eastAsia="仿宋_GB2312" w:cs="仿宋_GB2312"/>
          <w:color w:val="auto"/>
          <w:sz w:val="32"/>
          <w:szCs w:val="32"/>
          <w:highlight w:val="none"/>
        </w:rPr>
        <w:t>HSE</w:t>
      </w:r>
      <w:r>
        <w:rPr>
          <w:rFonts w:hint="eastAsia" w:ascii="仿宋_GB2312" w:hAnsi="仿宋_GB2312" w:eastAsia="仿宋_GB2312" w:cs="仿宋_GB2312"/>
          <w:color w:val="auto"/>
          <w:spacing w:val="8"/>
          <w:sz w:val="32"/>
          <w:szCs w:val="32"/>
          <w:highlight w:val="none"/>
        </w:rPr>
        <w:t>内</w:t>
      </w:r>
      <w:r>
        <w:rPr>
          <w:rFonts w:hint="eastAsia" w:ascii="仿宋_GB2312" w:hAnsi="仿宋_GB2312" w:eastAsia="仿宋_GB2312" w:cs="仿宋_GB2312"/>
          <w:color w:val="auto"/>
          <w:spacing w:val="5"/>
          <w:sz w:val="32"/>
          <w:szCs w:val="32"/>
          <w:highlight w:val="none"/>
        </w:rPr>
        <w:t>容</w:t>
      </w:r>
      <w:r>
        <w:rPr>
          <w:rFonts w:hint="eastAsia" w:ascii="仿宋_GB2312" w:hAnsi="仿宋_GB2312" w:eastAsia="仿宋_GB2312" w:cs="仿宋_GB2312"/>
          <w:color w:val="auto"/>
          <w:spacing w:val="16"/>
          <w:sz w:val="32"/>
          <w:szCs w:val="32"/>
          <w:highlight w:val="none"/>
        </w:rPr>
        <w:t>描</w:t>
      </w:r>
      <w:r>
        <w:rPr>
          <w:rFonts w:hint="eastAsia" w:ascii="仿宋_GB2312" w:hAnsi="仿宋_GB2312" w:eastAsia="仿宋_GB2312" w:cs="仿宋_GB2312"/>
          <w:color w:val="auto"/>
          <w:spacing w:val="14"/>
          <w:sz w:val="32"/>
          <w:szCs w:val="32"/>
          <w:highlight w:val="none"/>
        </w:rPr>
        <w:t>述</w:t>
      </w:r>
      <w:r>
        <w:rPr>
          <w:rFonts w:hint="eastAsia" w:ascii="仿宋_GB2312" w:hAnsi="仿宋_GB2312" w:eastAsia="仿宋_GB2312" w:cs="仿宋_GB2312"/>
          <w:color w:val="auto"/>
          <w:spacing w:val="8"/>
          <w:sz w:val="32"/>
          <w:szCs w:val="32"/>
          <w:highlight w:val="none"/>
        </w:rPr>
        <w:t>、试剂配制过程记录、标准溶液标定、样品处理及测定过程记录、标定及测定</w:t>
      </w:r>
      <w:r>
        <w:rPr>
          <w:rFonts w:hint="eastAsia" w:ascii="仿宋_GB2312" w:hAnsi="仿宋_GB2312" w:eastAsia="仿宋_GB2312" w:cs="仿宋_GB2312"/>
          <w:color w:val="auto"/>
          <w:spacing w:val="16"/>
          <w:sz w:val="32"/>
          <w:szCs w:val="32"/>
          <w:highlight w:val="none"/>
        </w:rPr>
        <w:t>结</w:t>
      </w:r>
      <w:r>
        <w:rPr>
          <w:rFonts w:hint="eastAsia" w:ascii="仿宋_GB2312" w:hAnsi="仿宋_GB2312" w:eastAsia="仿宋_GB2312" w:cs="仿宋_GB2312"/>
          <w:color w:val="auto"/>
          <w:spacing w:val="14"/>
          <w:sz w:val="32"/>
          <w:szCs w:val="32"/>
          <w:highlight w:val="none"/>
        </w:rPr>
        <w:t>果</w:t>
      </w:r>
      <w:r>
        <w:rPr>
          <w:rFonts w:hint="eastAsia" w:ascii="仿宋_GB2312" w:hAnsi="仿宋_GB2312" w:eastAsia="仿宋_GB2312" w:cs="仿宋_GB2312"/>
          <w:color w:val="auto"/>
          <w:spacing w:val="8"/>
          <w:sz w:val="32"/>
          <w:szCs w:val="32"/>
          <w:highlight w:val="none"/>
        </w:rPr>
        <w:t>计算过程及结果表达、测定结果的</w:t>
      </w:r>
      <w:r>
        <w:rPr>
          <w:rFonts w:hint="eastAsia" w:ascii="仿宋_GB2312" w:hAnsi="仿宋_GB2312" w:eastAsia="仿宋_GB2312" w:cs="仿宋_GB2312"/>
          <w:color w:val="auto"/>
          <w:spacing w:val="6"/>
          <w:sz w:val="32"/>
          <w:szCs w:val="32"/>
          <w:highlight w:val="none"/>
        </w:rPr>
        <w:t>重复性评价</w:t>
      </w:r>
      <w:r>
        <w:rPr>
          <w:rFonts w:hint="eastAsia" w:ascii="仿宋_GB2312" w:hAnsi="仿宋_GB2312" w:eastAsia="仿宋_GB2312" w:cs="仿宋_GB2312"/>
          <w:color w:val="auto"/>
          <w:spacing w:val="5"/>
          <w:sz w:val="32"/>
          <w:szCs w:val="32"/>
          <w:highlight w:val="none"/>
        </w:rPr>
        <w:t>。</w:t>
      </w:r>
    </w:p>
    <w:p w14:paraId="2F554CFD">
      <w:pPr>
        <w:adjustRightInd w:val="0"/>
        <w:snapToGrid w:val="0"/>
        <w:spacing w:line="360" w:lineRule="auto"/>
        <w:ind w:left="680"/>
        <w:outlineLvl w:val="2"/>
        <w:rPr>
          <w:rFonts w:hint="eastAsia" w:ascii="仿宋" w:hAnsi="仿宋" w:eastAsia="仿宋" w:cs="仿宋"/>
          <w:color w:val="auto"/>
          <w:sz w:val="32"/>
          <w:szCs w:val="32"/>
          <w:highlight w:val="none"/>
        </w:rPr>
      </w:pPr>
      <w:r>
        <w:rPr>
          <w:rFonts w:hint="eastAsia" w:ascii="仿宋_GB2312" w:hAnsi="仿宋_GB2312" w:eastAsia="仿宋_GB2312" w:cs="仿宋_GB2312"/>
          <w:color w:val="auto"/>
          <w:spacing w:val="12"/>
          <w:sz w:val="32"/>
          <w:szCs w:val="32"/>
          <w:highlight w:val="none"/>
        </w:rPr>
        <w:t>(</w:t>
      </w:r>
      <w:r>
        <w:rPr>
          <w:rFonts w:hint="eastAsia" w:ascii="仿宋_GB2312" w:hAnsi="仿宋_GB2312" w:eastAsia="仿宋_GB2312" w:cs="仿宋_GB2312"/>
          <w:color w:val="auto"/>
          <w:spacing w:val="8"/>
          <w:sz w:val="32"/>
          <w:szCs w:val="32"/>
          <w:highlight w:val="none"/>
        </w:rPr>
        <w:t>2)报告用 WPS 办公软件编辑并打印上交。</w:t>
      </w:r>
    </w:p>
    <w:p w14:paraId="0CE61367">
      <w:pPr>
        <w:pStyle w:val="2"/>
        <w:adjustRightInd w:val="0"/>
        <w:snapToGrid w:val="0"/>
        <w:spacing w:line="360" w:lineRule="auto"/>
        <w:ind w:firstLine="0" w:firstLineChars="0"/>
        <w:rPr>
          <w:rFonts w:hint="eastAsia" w:ascii="仿宋" w:hAnsi="仿宋" w:eastAsia="仿宋" w:cs="仿宋"/>
          <w:color w:val="auto"/>
          <w:spacing w:val="8"/>
          <w:sz w:val="32"/>
          <w:szCs w:val="32"/>
          <w:highlight w:val="none"/>
        </w:rPr>
        <w:sectPr>
          <w:footerReference r:id="rId7" w:type="default"/>
          <w:pgSz w:w="11906" w:h="16838"/>
          <w:pgMar w:top="2098" w:right="1531" w:bottom="1814" w:left="1531" w:header="851" w:footer="1587" w:gutter="0"/>
          <w:pgNumType w:fmt="numberInDash"/>
          <w:cols w:space="0" w:num="1"/>
          <w:docGrid w:type="linesAndChars" w:linePitch="319" w:charSpace="0"/>
        </w:sectPr>
      </w:pPr>
    </w:p>
    <w:p w14:paraId="02E79DB2">
      <w:pPr>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模块 B 分光光度法测定样品中的组分的含量</w:t>
      </w:r>
    </w:p>
    <w:p w14:paraId="2D24B9AE">
      <w:pPr>
        <w:spacing w:line="454" w:lineRule="auto"/>
        <w:rPr>
          <w:rFonts w:hint="eastAsia" w:ascii="仿宋" w:hAnsi="仿宋" w:eastAsia="仿宋" w:cs="仿宋"/>
          <w:color w:val="auto"/>
          <w:sz w:val="32"/>
          <w:szCs w:val="32"/>
          <w:highlight w:val="none"/>
        </w:rPr>
      </w:pPr>
    </w:p>
    <w:p w14:paraId="1B8C00F5">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bookmarkStart w:id="37" w:name="_Toc5560"/>
      <w:bookmarkStart w:id="38" w:name="_Toc18985"/>
      <w:bookmarkStart w:id="39" w:name="_Toc20327"/>
      <w:r>
        <w:rPr>
          <w:rFonts w:hint="eastAsia" w:ascii="仿宋_GB2312" w:hAnsi="仿宋_GB2312" w:eastAsia="仿宋_GB2312" w:cs="仿宋_GB2312"/>
          <w:color w:val="auto"/>
          <w:sz w:val="32"/>
          <w:szCs w:val="32"/>
          <w:highlight w:val="none"/>
        </w:rPr>
        <w:t>一、竞赛要求</w:t>
      </w:r>
      <w:bookmarkEnd w:id="37"/>
      <w:bookmarkEnd w:id="38"/>
      <w:bookmarkEnd w:id="39"/>
    </w:p>
    <w:p w14:paraId="6FCBCE8E">
      <w:pPr>
        <w:adjustRightInd w:val="0"/>
        <w:snapToGrid w:val="0"/>
        <w:spacing w:line="360" w:lineRule="auto"/>
        <w:ind w:left="35" w:right="105" w:firstLine="644"/>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4"/>
          <w:sz w:val="32"/>
          <w:szCs w:val="32"/>
          <w:highlight w:val="none"/>
        </w:rPr>
        <w:t>选</w:t>
      </w:r>
      <w:r>
        <w:rPr>
          <w:rFonts w:hint="eastAsia" w:ascii="仿宋_GB2312" w:hAnsi="仿宋_GB2312" w:eastAsia="仿宋_GB2312" w:cs="仿宋_GB2312"/>
          <w:color w:val="auto"/>
          <w:spacing w:val="8"/>
          <w:sz w:val="32"/>
          <w:szCs w:val="32"/>
          <w:highlight w:val="none"/>
        </w:rPr>
        <w:t>手须根据赛题要求独立完成实验并编辑、提交工作报</w:t>
      </w:r>
      <w:r>
        <w:rPr>
          <w:rFonts w:hint="eastAsia" w:ascii="仿宋_GB2312" w:hAnsi="仿宋_GB2312" w:eastAsia="仿宋_GB2312" w:cs="仿宋_GB2312"/>
          <w:color w:val="auto"/>
          <w:spacing w:val="-7"/>
          <w:sz w:val="32"/>
          <w:szCs w:val="32"/>
          <w:highlight w:val="none"/>
        </w:rPr>
        <w:t>告</w:t>
      </w:r>
      <w:r>
        <w:rPr>
          <w:rFonts w:hint="eastAsia" w:ascii="仿宋_GB2312" w:hAnsi="仿宋_GB2312" w:eastAsia="仿宋_GB2312" w:cs="仿宋_GB2312"/>
          <w:color w:val="auto"/>
          <w:spacing w:val="-6"/>
          <w:sz w:val="32"/>
          <w:szCs w:val="32"/>
          <w:highlight w:val="none"/>
        </w:rPr>
        <w:t>。</w:t>
      </w:r>
    </w:p>
    <w:p w14:paraId="6105BDFB">
      <w:pPr>
        <w:adjustRightInd w:val="0"/>
        <w:snapToGrid w:val="0"/>
        <w:spacing w:line="360" w:lineRule="auto"/>
        <w:ind w:left="686"/>
        <w:outlineLvl w:val="0"/>
        <w:rPr>
          <w:rFonts w:hint="eastAsia" w:ascii="仿宋_GB2312" w:hAnsi="仿宋_GB2312" w:eastAsia="仿宋_GB2312" w:cs="仿宋_GB2312"/>
          <w:color w:val="auto"/>
          <w:sz w:val="32"/>
          <w:szCs w:val="32"/>
          <w:highlight w:val="none"/>
        </w:rPr>
      </w:pPr>
      <w:bookmarkStart w:id="40" w:name="_Toc12687"/>
      <w:bookmarkStart w:id="41" w:name="_Toc19235"/>
      <w:bookmarkStart w:id="42" w:name="_Toc12228"/>
      <w:r>
        <w:rPr>
          <w:rFonts w:hint="eastAsia" w:ascii="仿宋_GB2312" w:hAnsi="仿宋_GB2312" w:eastAsia="仿宋_GB2312" w:cs="仿宋_GB2312"/>
          <w:color w:val="auto"/>
          <w:spacing w:val="8"/>
          <w:position w:val="2"/>
          <w:sz w:val="32"/>
          <w:szCs w:val="32"/>
          <w:highlight w:val="none"/>
        </w:rPr>
        <w:t>二</w:t>
      </w:r>
      <w:r>
        <w:rPr>
          <w:rFonts w:hint="eastAsia" w:ascii="仿宋_GB2312" w:hAnsi="仿宋_GB2312" w:eastAsia="仿宋_GB2312" w:cs="仿宋_GB2312"/>
          <w:color w:val="auto"/>
          <w:spacing w:val="4"/>
          <w:position w:val="2"/>
          <w:sz w:val="32"/>
          <w:szCs w:val="32"/>
          <w:highlight w:val="none"/>
        </w:rPr>
        <w:t>、竞赛内容</w:t>
      </w:r>
      <w:bookmarkEnd w:id="40"/>
      <w:bookmarkEnd w:id="41"/>
      <w:bookmarkEnd w:id="42"/>
    </w:p>
    <w:p w14:paraId="53BBA239">
      <w:pPr>
        <w:adjustRightInd w:val="0"/>
        <w:snapToGrid w:val="0"/>
        <w:spacing w:line="360" w:lineRule="auto"/>
        <w:ind w:left="689"/>
        <w:outlineLvl w:val="1"/>
        <w:rPr>
          <w:rFonts w:hint="eastAsia" w:ascii="仿宋_GB2312" w:hAnsi="仿宋_GB2312" w:eastAsia="仿宋_GB2312" w:cs="仿宋_GB2312"/>
          <w:color w:val="auto"/>
          <w:sz w:val="32"/>
          <w:szCs w:val="32"/>
          <w:highlight w:val="none"/>
        </w:rPr>
      </w:pPr>
      <w:bookmarkStart w:id="43" w:name="_Toc28399"/>
      <w:bookmarkStart w:id="44" w:name="_Toc19753"/>
      <w:bookmarkStart w:id="45" w:name="_Toc12435"/>
      <w:r>
        <w:rPr>
          <w:rFonts w:hint="eastAsia" w:ascii="仿宋_GB2312" w:hAnsi="仿宋_GB2312" w:eastAsia="仿宋_GB2312" w:cs="仿宋_GB2312"/>
          <w:color w:val="auto"/>
          <w:spacing w:val="3"/>
          <w:position w:val="2"/>
          <w:sz w:val="32"/>
          <w:szCs w:val="32"/>
          <w:highlight w:val="none"/>
        </w:rPr>
        <w:t>1</w:t>
      </w:r>
      <w:r>
        <w:rPr>
          <w:rFonts w:hint="eastAsia" w:ascii="仿宋_GB2312" w:hAnsi="仿宋_GB2312" w:eastAsia="仿宋_GB2312" w:cs="仿宋_GB2312"/>
          <w:color w:val="auto"/>
          <w:spacing w:val="2"/>
          <w:position w:val="2"/>
          <w:sz w:val="32"/>
          <w:szCs w:val="32"/>
          <w:highlight w:val="none"/>
        </w:rPr>
        <w:t>.技术要求</w:t>
      </w:r>
      <w:bookmarkEnd w:id="43"/>
      <w:bookmarkEnd w:id="44"/>
      <w:bookmarkEnd w:id="45"/>
    </w:p>
    <w:p w14:paraId="406F6BB3">
      <w:pPr>
        <w:adjustRightInd w:val="0"/>
        <w:snapToGrid w:val="0"/>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3"/>
          <w:sz w:val="32"/>
          <w:szCs w:val="32"/>
          <w:highlight w:val="none"/>
        </w:rPr>
        <w:t>(</w:t>
      </w:r>
      <w:r>
        <w:rPr>
          <w:rFonts w:hint="eastAsia" w:ascii="仿宋_GB2312" w:hAnsi="仿宋_GB2312" w:eastAsia="仿宋_GB2312" w:cs="仿宋_GB2312"/>
          <w:color w:val="auto"/>
          <w:spacing w:val="19"/>
          <w:sz w:val="32"/>
          <w:szCs w:val="32"/>
          <w:highlight w:val="none"/>
        </w:rPr>
        <w:t>1)配制相关溶液；</w:t>
      </w:r>
    </w:p>
    <w:p w14:paraId="71C4A531">
      <w:pPr>
        <w:adjustRightInd w:val="0"/>
        <w:snapToGrid w:val="0"/>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w:t>
      </w:r>
      <w:r>
        <w:rPr>
          <w:rFonts w:hint="eastAsia" w:ascii="仿宋_GB2312" w:hAnsi="仿宋_GB2312" w:eastAsia="仿宋_GB2312" w:cs="仿宋_GB2312"/>
          <w:color w:val="auto"/>
          <w:spacing w:val="20"/>
          <w:sz w:val="32"/>
          <w:szCs w:val="32"/>
          <w:highlight w:val="none"/>
        </w:rPr>
        <w:t>2)未知物定性分析；</w:t>
      </w:r>
    </w:p>
    <w:p w14:paraId="2C26EB08">
      <w:pPr>
        <w:adjustRightInd w:val="0"/>
        <w:snapToGrid w:val="0"/>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8"/>
          <w:sz w:val="32"/>
          <w:szCs w:val="32"/>
          <w:highlight w:val="none"/>
        </w:rPr>
        <w:t>(3)绘制标准工作曲线；</w:t>
      </w:r>
    </w:p>
    <w:p w14:paraId="3320E84C">
      <w:pPr>
        <w:adjustRightInd w:val="0"/>
        <w:snapToGrid w:val="0"/>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7"/>
          <w:sz w:val="32"/>
          <w:szCs w:val="32"/>
          <w:highlight w:val="none"/>
        </w:rPr>
        <w:t>(</w:t>
      </w:r>
      <w:r>
        <w:rPr>
          <w:rFonts w:hint="eastAsia" w:ascii="仿宋_GB2312" w:hAnsi="仿宋_GB2312" w:eastAsia="仿宋_GB2312" w:cs="仿宋_GB2312"/>
          <w:color w:val="auto"/>
          <w:spacing w:val="16"/>
          <w:sz w:val="32"/>
          <w:szCs w:val="32"/>
          <w:highlight w:val="none"/>
        </w:rPr>
        <w:t>4)测定样品中待测组分的含量；</w:t>
      </w:r>
    </w:p>
    <w:p w14:paraId="3C1D8120">
      <w:pPr>
        <w:adjustRightInd w:val="0"/>
        <w:snapToGrid w:val="0"/>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2"/>
          <w:sz w:val="32"/>
          <w:szCs w:val="32"/>
          <w:highlight w:val="none"/>
        </w:rPr>
        <w:t>(</w:t>
      </w:r>
      <w:r>
        <w:rPr>
          <w:rFonts w:hint="eastAsia" w:ascii="仿宋_GB2312" w:hAnsi="仿宋_GB2312" w:eastAsia="仿宋_GB2312" w:cs="仿宋_GB2312"/>
          <w:color w:val="auto"/>
          <w:spacing w:val="17"/>
          <w:sz w:val="32"/>
          <w:szCs w:val="32"/>
          <w:highlight w:val="none"/>
        </w:rPr>
        <w:t>5)编辑并提交工作报告。</w:t>
      </w:r>
    </w:p>
    <w:p w14:paraId="02015FE7">
      <w:pPr>
        <w:adjustRightInd w:val="0"/>
        <w:snapToGrid w:val="0"/>
        <w:spacing w:line="360" w:lineRule="auto"/>
        <w:ind w:left="669"/>
        <w:outlineLvl w:val="1"/>
        <w:rPr>
          <w:rFonts w:hint="eastAsia" w:ascii="仿宋_GB2312" w:hAnsi="仿宋_GB2312" w:eastAsia="仿宋_GB2312" w:cs="仿宋_GB2312"/>
          <w:color w:val="auto"/>
          <w:sz w:val="32"/>
          <w:szCs w:val="32"/>
          <w:highlight w:val="none"/>
        </w:rPr>
      </w:pPr>
      <w:bookmarkStart w:id="46" w:name="_Toc12826"/>
      <w:bookmarkStart w:id="47" w:name="_Toc26104"/>
      <w:bookmarkStart w:id="48" w:name="_Toc7111"/>
      <w:r>
        <w:rPr>
          <w:rFonts w:hint="eastAsia" w:ascii="仿宋_GB2312" w:hAnsi="仿宋_GB2312" w:eastAsia="仿宋_GB2312" w:cs="仿宋_GB2312"/>
          <w:color w:val="auto"/>
          <w:spacing w:val="8"/>
          <w:position w:val="2"/>
          <w:sz w:val="32"/>
          <w:szCs w:val="32"/>
          <w:highlight w:val="none"/>
        </w:rPr>
        <w:t>2</w:t>
      </w:r>
      <w:r>
        <w:rPr>
          <w:rFonts w:hint="eastAsia" w:ascii="仿宋_GB2312" w:hAnsi="仿宋_GB2312" w:eastAsia="仿宋_GB2312" w:cs="仿宋_GB2312"/>
          <w:color w:val="auto"/>
          <w:spacing w:val="5"/>
          <w:position w:val="2"/>
          <w:sz w:val="32"/>
          <w:szCs w:val="32"/>
          <w:highlight w:val="none"/>
        </w:rPr>
        <w:t>.竞赛时间</w:t>
      </w:r>
      <w:bookmarkEnd w:id="46"/>
      <w:bookmarkEnd w:id="47"/>
      <w:bookmarkEnd w:id="48"/>
    </w:p>
    <w:p w14:paraId="30B44AC7">
      <w:pPr>
        <w:adjustRightInd w:val="0"/>
        <w:snapToGrid w:val="0"/>
        <w:spacing w:line="360" w:lineRule="auto"/>
        <w:ind w:left="41" w:firstLine="648"/>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总</w:t>
      </w:r>
      <w:r>
        <w:rPr>
          <w:rFonts w:hint="eastAsia" w:ascii="仿宋_GB2312" w:hAnsi="仿宋_GB2312" w:eastAsia="仿宋_GB2312" w:cs="仿宋_GB2312"/>
          <w:color w:val="auto"/>
          <w:spacing w:val="-6"/>
          <w:sz w:val="32"/>
          <w:szCs w:val="32"/>
          <w:highlight w:val="none"/>
        </w:rPr>
        <w:t xml:space="preserve">时间为 </w:t>
      </w:r>
      <w:r>
        <w:rPr>
          <w:rFonts w:hint="eastAsia" w:ascii="仿宋_GB2312" w:hAnsi="仿宋_GB2312" w:eastAsia="仿宋_GB2312" w:cs="仿宋_GB2312"/>
          <w:color w:val="auto"/>
          <w:spacing w:val="-6"/>
          <w:sz w:val="32"/>
          <w:szCs w:val="32"/>
          <w:highlight w:val="none"/>
          <w:lang w:val="en-US" w:eastAsia="zh-CN"/>
        </w:rPr>
        <w:t>180min</w:t>
      </w:r>
      <w:r>
        <w:rPr>
          <w:rFonts w:hint="eastAsia" w:ascii="仿宋_GB2312" w:hAnsi="仿宋_GB2312" w:eastAsia="仿宋_GB2312" w:cs="仿宋_GB2312"/>
          <w:color w:val="auto"/>
          <w:spacing w:val="-6"/>
          <w:sz w:val="32"/>
          <w:szCs w:val="32"/>
          <w:highlight w:val="none"/>
        </w:rPr>
        <w:t>，包括实验准备时间、样品测定时间、</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5"/>
          <w:sz w:val="32"/>
          <w:szCs w:val="32"/>
          <w:highlight w:val="none"/>
        </w:rPr>
        <w:t>结</w:t>
      </w:r>
      <w:r>
        <w:rPr>
          <w:rFonts w:hint="eastAsia" w:ascii="仿宋_GB2312" w:hAnsi="仿宋_GB2312" w:eastAsia="仿宋_GB2312" w:cs="仿宋_GB2312"/>
          <w:color w:val="auto"/>
          <w:spacing w:val="8"/>
          <w:sz w:val="32"/>
          <w:szCs w:val="32"/>
          <w:highlight w:val="none"/>
        </w:rPr>
        <w:t>果处理与报告编辑时间、实验工位清洁整理时间。</w:t>
      </w:r>
    </w:p>
    <w:p w14:paraId="366CF588">
      <w:pPr>
        <w:adjustRightInd w:val="0"/>
        <w:snapToGrid w:val="0"/>
        <w:spacing w:line="360" w:lineRule="auto"/>
        <w:ind w:left="672"/>
        <w:outlineLvl w:val="1"/>
        <w:rPr>
          <w:rFonts w:hint="eastAsia" w:ascii="仿宋_GB2312" w:hAnsi="仿宋_GB2312" w:eastAsia="仿宋_GB2312" w:cs="仿宋_GB2312"/>
          <w:color w:val="auto"/>
          <w:sz w:val="32"/>
          <w:szCs w:val="32"/>
          <w:highlight w:val="none"/>
        </w:rPr>
      </w:pPr>
      <w:bookmarkStart w:id="49" w:name="_Toc5938"/>
      <w:bookmarkStart w:id="50" w:name="_Toc16182"/>
      <w:bookmarkStart w:id="51" w:name="_Toc9037"/>
      <w:r>
        <w:rPr>
          <w:rFonts w:hint="eastAsia" w:ascii="仿宋_GB2312" w:hAnsi="仿宋_GB2312" w:eastAsia="仿宋_GB2312" w:cs="仿宋_GB2312"/>
          <w:color w:val="auto"/>
          <w:spacing w:val="5"/>
          <w:position w:val="2"/>
          <w:sz w:val="32"/>
          <w:szCs w:val="32"/>
          <w:highlight w:val="none"/>
        </w:rPr>
        <w:t>3.技术支撑</w:t>
      </w:r>
      <w:bookmarkEnd w:id="49"/>
      <w:bookmarkEnd w:id="50"/>
      <w:bookmarkEnd w:id="51"/>
    </w:p>
    <w:p w14:paraId="334AE8D0">
      <w:pPr>
        <w:adjustRightInd w:val="0"/>
        <w:snapToGrid w:val="0"/>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8"/>
          <w:sz w:val="32"/>
          <w:szCs w:val="32"/>
          <w:highlight w:val="none"/>
        </w:rPr>
        <w:t>(</w:t>
      </w:r>
      <w:r>
        <w:rPr>
          <w:rFonts w:hint="eastAsia" w:ascii="仿宋_GB2312" w:hAnsi="仿宋_GB2312" w:eastAsia="仿宋_GB2312" w:cs="仿宋_GB2312"/>
          <w:color w:val="auto"/>
          <w:spacing w:val="22"/>
          <w:sz w:val="32"/>
          <w:szCs w:val="32"/>
          <w:highlight w:val="none"/>
        </w:rPr>
        <w:t>1)仪器、试剂</w:t>
      </w:r>
    </w:p>
    <w:p w14:paraId="1E7A2953">
      <w:pPr>
        <w:adjustRightInd w:val="0"/>
        <w:snapToGrid w:val="0"/>
        <w:spacing w:line="360" w:lineRule="auto"/>
        <w:ind w:left="32" w:right="410" w:firstLine="644"/>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9"/>
          <w:sz w:val="32"/>
          <w:szCs w:val="32"/>
          <w:highlight w:val="none"/>
        </w:rPr>
        <w:t>本模块用到的仪器与试剂、耗材见本技术工作文件</w:t>
      </w:r>
      <w:r>
        <w:rPr>
          <w:rFonts w:hint="eastAsia" w:ascii="仿宋_GB2312" w:hAnsi="仿宋_GB2312" w:eastAsia="仿宋_GB2312" w:cs="仿宋_GB2312"/>
          <w:color w:val="auto"/>
          <w:spacing w:val="7"/>
          <w:sz w:val="32"/>
          <w:szCs w:val="32"/>
          <w:highlight w:val="none"/>
        </w:rPr>
        <w:t>中</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8"/>
          <w:sz w:val="32"/>
          <w:szCs w:val="32"/>
          <w:highlight w:val="none"/>
        </w:rPr>
        <w:t>《基础设施清单》和《试剂、溶液清单》</w:t>
      </w:r>
      <w:r>
        <w:rPr>
          <w:rFonts w:hint="eastAsia" w:ascii="仿宋_GB2312" w:hAnsi="仿宋_GB2312" w:eastAsia="仿宋_GB2312" w:cs="仿宋_GB2312"/>
          <w:color w:val="auto"/>
          <w:spacing w:val="5"/>
          <w:sz w:val="32"/>
          <w:szCs w:val="32"/>
          <w:highlight w:val="none"/>
        </w:rPr>
        <w:t>。</w:t>
      </w:r>
    </w:p>
    <w:p w14:paraId="47A836D8">
      <w:pPr>
        <w:adjustRightInd w:val="0"/>
        <w:snapToGrid w:val="0"/>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(2)实验准备</w:t>
      </w:r>
    </w:p>
    <w:p w14:paraId="3149BF9D">
      <w:pPr>
        <w:keepNext w:val="0"/>
        <w:keepLines w:val="0"/>
        <w:pageBreakBefore w:val="0"/>
        <w:widowControl w:val="0"/>
        <w:kinsoku/>
        <w:wordWrap/>
        <w:overflowPunct/>
        <w:topLinePunct w:val="0"/>
        <w:autoSpaceDE/>
        <w:autoSpaceDN/>
        <w:bidi w:val="0"/>
        <w:adjustRightInd w:val="0"/>
        <w:snapToGrid w:val="0"/>
        <w:spacing w:line="360" w:lineRule="auto"/>
        <w:ind w:firstLine="704"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计</w:t>
      </w:r>
      <w:r>
        <w:rPr>
          <w:rFonts w:hint="eastAsia" w:ascii="仿宋_GB2312" w:hAnsi="仿宋_GB2312" w:eastAsia="仿宋_GB2312" w:cs="仿宋_GB2312"/>
          <w:color w:val="auto"/>
          <w:spacing w:val="9"/>
          <w:sz w:val="32"/>
          <w:szCs w:val="32"/>
          <w:highlight w:val="none"/>
        </w:rPr>
        <w:t>算</w:t>
      </w:r>
      <w:r>
        <w:rPr>
          <w:rFonts w:hint="eastAsia" w:ascii="仿宋_GB2312" w:hAnsi="仿宋_GB2312" w:eastAsia="仿宋_GB2312" w:cs="仿宋_GB2312"/>
          <w:color w:val="auto"/>
          <w:spacing w:val="8"/>
          <w:sz w:val="32"/>
          <w:szCs w:val="32"/>
          <w:highlight w:val="none"/>
        </w:rPr>
        <w:t>、配制相关溶液，包括标准储备溶液、标准工作溶</w:t>
      </w:r>
      <w:r>
        <w:rPr>
          <w:rFonts w:hint="eastAsia" w:ascii="仿宋_GB2312" w:hAnsi="仿宋_GB2312" w:eastAsia="仿宋_GB2312" w:cs="仿宋_GB2312"/>
          <w:color w:val="auto"/>
          <w:spacing w:val="16"/>
          <w:sz w:val="32"/>
          <w:szCs w:val="32"/>
          <w:highlight w:val="none"/>
        </w:rPr>
        <w:t>液</w:t>
      </w:r>
      <w:r>
        <w:rPr>
          <w:rFonts w:hint="eastAsia" w:ascii="仿宋_GB2312" w:hAnsi="仿宋_GB2312" w:eastAsia="仿宋_GB2312" w:cs="仿宋_GB2312"/>
          <w:color w:val="auto"/>
          <w:spacing w:val="11"/>
          <w:sz w:val="32"/>
          <w:szCs w:val="32"/>
          <w:highlight w:val="none"/>
        </w:rPr>
        <w:t>、</w:t>
      </w:r>
      <w:r>
        <w:rPr>
          <w:rFonts w:hint="eastAsia" w:ascii="仿宋_GB2312" w:hAnsi="仿宋_GB2312" w:eastAsia="仿宋_GB2312" w:cs="仿宋_GB2312"/>
          <w:color w:val="auto"/>
          <w:spacing w:val="8"/>
          <w:sz w:val="32"/>
          <w:szCs w:val="32"/>
          <w:highlight w:val="none"/>
        </w:rPr>
        <w:t>待测组分的标准系列溶液和其他一般性溶液；</w:t>
      </w:r>
    </w:p>
    <w:p w14:paraId="4786CE3B">
      <w:pPr>
        <w:keepNext w:val="0"/>
        <w:keepLines w:val="0"/>
        <w:pageBreakBefore w:val="0"/>
        <w:widowControl w:val="0"/>
        <w:kinsoku/>
        <w:wordWrap/>
        <w:overflowPunct/>
        <w:topLinePunct w:val="0"/>
        <w:autoSpaceDE/>
        <w:autoSpaceDN/>
        <w:bidi w:val="0"/>
        <w:adjustRightInd w:val="0"/>
        <w:snapToGrid w:val="0"/>
        <w:spacing w:line="360" w:lineRule="auto"/>
        <w:ind w:left="677"/>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9"/>
          <w:position w:val="23"/>
          <w:sz w:val="32"/>
          <w:szCs w:val="32"/>
          <w:highlight w:val="none"/>
        </w:rPr>
        <w:t>根</w:t>
      </w:r>
      <w:r>
        <w:rPr>
          <w:rFonts w:hint="eastAsia" w:ascii="仿宋_GB2312" w:hAnsi="仿宋_GB2312" w:eastAsia="仿宋_GB2312" w:cs="仿宋_GB2312"/>
          <w:color w:val="auto"/>
          <w:spacing w:val="8"/>
          <w:position w:val="23"/>
          <w:sz w:val="32"/>
          <w:szCs w:val="32"/>
          <w:highlight w:val="none"/>
        </w:rPr>
        <w:t>据赛题要求，进行比色皿配套性检验；</w:t>
      </w:r>
    </w:p>
    <w:p w14:paraId="5261A679">
      <w:pPr>
        <w:keepNext w:val="0"/>
        <w:keepLines w:val="0"/>
        <w:pageBreakBefore w:val="0"/>
        <w:widowControl w:val="0"/>
        <w:kinsoku/>
        <w:wordWrap/>
        <w:overflowPunct/>
        <w:topLinePunct w:val="0"/>
        <w:autoSpaceDE/>
        <w:autoSpaceDN/>
        <w:bidi w:val="0"/>
        <w:adjustRightInd w:val="0"/>
        <w:snapToGrid w:val="0"/>
        <w:spacing w:line="360" w:lineRule="auto"/>
        <w:ind w:left="677"/>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7"/>
          <w:sz w:val="32"/>
          <w:szCs w:val="32"/>
          <w:highlight w:val="none"/>
        </w:rPr>
        <w:t>确</w:t>
      </w:r>
      <w:r>
        <w:rPr>
          <w:rFonts w:hint="eastAsia" w:ascii="仿宋_GB2312" w:hAnsi="仿宋_GB2312" w:eastAsia="仿宋_GB2312" w:cs="仿宋_GB2312"/>
          <w:color w:val="auto"/>
          <w:spacing w:val="5"/>
          <w:sz w:val="32"/>
          <w:szCs w:val="32"/>
          <w:highlight w:val="none"/>
        </w:rPr>
        <w:t>定测定波长；</w:t>
      </w:r>
    </w:p>
    <w:p w14:paraId="463ACC55">
      <w:pPr>
        <w:keepNext w:val="0"/>
        <w:keepLines w:val="0"/>
        <w:pageBreakBefore w:val="0"/>
        <w:widowControl w:val="0"/>
        <w:kinsoku/>
        <w:wordWrap/>
        <w:overflowPunct/>
        <w:topLinePunct w:val="0"/>
        <w:autoSpaceDE/>
        <w:autoSpaceDN/>
        <w:bidi w:val="0"/>
        <w:adjustRightInd w:val="0"/>
        <w:snapToGrid w:val="0"/>
        <w:spacing w:line="360" w:lineRule="auto"/>
        <w:ind w:left="674"/>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绘</w:t>
      </w:r>
      <w:r>
        <w:rPr>
          <w:rFonts w:hint="eastAsia" w:ascii="仿宋_GB2312" w:hAnsi="仿宋_GB2312" w:eastAsia="仿宋_GB2312" w:cs="仿宋_GB2312"/>
          <w:color w:val="auto"/>
          <w:spacing w:val="6"/>
          <w:sz w:val="32"/>
          <w:szCs w:val="32"/>
          <w:highlight w:val="none"/>
        </w:rPr>
        <w:t>制标准工作曲线。</w:t>
      </w:r>
    </w:p>
    <w:p w14:paraId="0EF7B138">
      <w:pPr>
        <w:keepNext w:val="0"/>
        <w:keepLines w:val="0"/>
        <w:pageBreakBefore w:val="0"/>
        <w:widowControl w:val="0"/>
        <w:kinsoku/>
        <w:wordWrap/>
        <w:overflowPunct/>
        <w:topLinePunct w:val="0"/>
        <w:autoSpaceDE/>
        <w:autoSpaceDN/>
        <w:bidi w:val="0"/>
        <w:adjustRightInd w:val="0"/>
        <w:snapToGrid w:val="0"/>
        <w:spacing w:line="360" w:lineRule="auto"/>
        <w:ind w:left="680"/>
        <w:textAlignment w:val="auto"/>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(3)样品测定</w:t>
      </w:r>
    </w:p>
    <w:p w14:paraId="42FC37CF">
      <w:pPr>
        <w:keepNext w:val="0"/>
        <w:keepLines w:val="0"/>
        <w:pageBreakBefore w:val="0"/>
        <w:widowControl w:val="0"/>
        <w:kinsoku/>
        <w:wordWrap/>
        <w:overflowPunct/>
        <w:topLinePunct w:val="0"/>
        <w:autoSpaceDE/>
        <w:autoSpaceDN/>
        <w:bidi w:val="0"/>
        <w:adjustRightInd w:val="0"/>
        <w:snapToGrid w:val="0"/>
        <w:spacing w:line="360" w:lineRule="auto"/>
        <w:ind w:left="40" w:right="16" w:firstLine="636"/>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取</w:t>
      </w:r>
      <w:r>
        <w:rPr>
          <w:rFonts w:hint="eastAsia" w:ascii="仿宋_GB2312" w:hAnsi="仿宋_GB2312" w:eastAsia="仿宋_GB2312" w:cs="仿宋_GB2312"/>
          <w:color w:val="auto"/>
          <w:spacing w:val="8"/>
          <w:sz w:val="32"/>
          <w:szCs w:val="32"/>
          <w:highlight w:val="none"/>
        </w:rPr>
        <w:t>适量的样品，按照赛题的要求进行样品的前处理</w:t>
      </w:r>
      <w:r>
        <w:rPr>
          <w:rFonts w:hint="eastAsia" w:ascii="仿宋_GB2312" w:hAnsi="仿宋_GB2312" w:eastAsia="仿宋_GB2312" w:cs="仿宋_GB2312"/>
          <w:color w:val="auto"/>
          <w:spacing w:val="5"/>
          <w:sz w:val="32"/>
          <w:szCs w:val="32"/>
          <w:highlight w:val="none"/>
        </w:rPr>
        <w:t>，测定吸光度。</w:t>
      </w:r>
    </w:p>
    <w:p w14:paraId="78B50596">
      <w:pPr>
        <w:keepNext w:val="0"/>
        <w:keepLines w:val="0"/>
        <w:pageBreakBefore w:val="0"/>
        <w:widowControl w:val="0"/>
        <w:kinsoku/>
        <w:wordWrap/>
        <w:overflowPunct/>
        <w:topLinePunct w:val="0"/>
        <w:autoSpaceDE/>
        <w:autoSpaceDN/>
        <w:bidi w:val="0"/>
        <w:adjustRightInd w:val="0"/>
        <w:snapToGrid w:val="0"/>
        <w:spacing w:line="360" w:lineRule="auto"/>
        <w:ind w:left="680"/>
        <w:textAlignment w:val="auto"/>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(4)结果计算</w:t>
      </w:r>
    </w:p>
    <w:p w14:paraId="07E567BB">
      <w:pPr>
        <w:adjustRightInd w:val="0"/>
        <w:snapToGrid w:val="0"/>
        <w:spacing w:line="360" w:lineRule="auto"/>
        <w:ind w:left="76" w:right="16" w:firstLine="6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根</w:t>
      </w:r>
      <w:r>
        <w:rPr>
          <w:rFonts w:hint="eastAsia" w:ascii="仿宋_GB2312" w:hAnsi="仿宋_GB2312" w:eastAsia="仿宋_GB2312" w:cs="仿宋_GB2312"/>
          <w:color w:val="auto"/>
          <w:spacing w:val="8"/>
          <w:sz w:val="32"/>
          <w:szCs w:val="32"/>
          <w:highlight w:val="none"/>
        </w:rPr>
        <w:t>据样品测定的吸光度和样品的前处理过程，计算样品中</w:t>
      </w:r>
      <w:r>
        <w:rPr>
          <w:rFonts w:hint="eastAsia" w:ascii="仿宋_GB2312" w:hAnsi="仿宋_GB2312" w:eastAsia="仿宋_GB2312" w:cs="仿宋_GB2312"/>
          <w:color w:val="auto"/>
          <w:sz w:val="32"/>
          <w:szCs w:val="32"/>
          <w:highlight w:val="none"/>
        </w:rPr>
        <w:t>待测</w:t>
      </w:r>
      <w:r>
        <w:rPr>
          <w:rFonts w:hint="eastAsia" w:ascii="仿宋_GB2312" w:hAnsi="仿宋_GB2312" w:eastAsia="仿宋_GB2312" w:cs="仿宋_GB2312"/>
          <w:color w:val="auto"/>
          <w:spacing w:val="6"/>
          <w:sz w:val="32"/>
          <w:szCs w:val="32"/>
          <w:highlight w:val="none"/>
        </w:rPr>
        <w:t>组分的含量，并评估测定的重复性。</w:t>
      </w:r>
    </w:p>
    <w:p w14:paraId="686E034A">
      <w:pPr>
        <w:adjustRightInd w:val="0"/>
        <w:snapToGrid w:val="0"/>
        <w:spacing w:line="360" w:lineRule="auto"/>
        <w:ind w:left="664"/>
        <w:outlineLvl w:val="1"/>
        <w:rPr>
          <w:rFonts w:hint="eastAsia" w:ascii="仿宋_GB2312" w:hAnsi="仿宋_GB2312" w:eastAsia="仿宋_GB2312" w:cs="仿宋_GB2312"/>
          <w:color w:val="auto"/>
          <w:sz w:val="32"/>
          <w:szCs w:val="32"/>
          <w:highlight w:val="none"/>
        </w:rPr>
      </w:pPr>
      <w:bookmarkStart w:id="52" w:name="_Toc13362"/>
      <w:bookmarkStart w:id="53" w:name="_Toc27986"/>
      <w:bookmarkStart w:id="54" w:name="_Toc23552"/>
      <w:r>
        <w:rPr>
          <w:rFonts w:hint="eastAsia" w:ascii="仿宋_GB2312" w:hAnsi="仿宋_GB2312" w:eastAsia="仿宋_GB2312" w:cs="仿宋_GB2312"/>
          <w:color w:val="auto"/>
          <w:spacing w:val="8"/>
          <w:position w:val="2"/>
          <w:sz w:val="32"/>
          <w:szCs w:val="32"/>
          <w:highlight w:val="none"/>
        </w:rPr>
        <w:t>4</w:t>
      </w:r>
      <w:r>
        <w:rPr>
          <w:rFonts w:hint="eastAsia" w:ascii="仿宋_GB2312" w:hAnsi="仿宋_GB2312" w:eastAsia="仿宋_GB2312" w:cs="仿宋_GB2312"/>
          <w:color w:val="auto"/>
          <w:spacing w:val="6"/>
          <w:position w:val="2"/>
          <w:sz w:val="32"/>
          <w:szCs w:val="32"/>
          <w:highlight w:val="none"/>
        </w:rPr>
        <w:t>.提交报告</w:t>
      </w:r>
      <w:bookmarkEnd w:id="52"/>
      <w:bookmarkEnd w:id="53"/>
      <w:bookmarkEnd w:id="54"/>
    </w:p>
    <w:p w14:paraId="3564A668">
      <w:pPr>
        <w:adjustRightInd w:val="0"/>
        <w:snapToGrid w:val="0"/>
        <w:spacing w:line="360" w:lineRule="auto"/>
        <w:ind w:left="35" w:right="16"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sz w:val="32"/>
          <w:szCs w:val="32"/>
          <w:highlight w:val="none"/>
        </w:rPr>
        <w:t>(1)按照行业规范撰写实验报告，内容包括：</w:t>
      </w:r>
      <w:r>
        <w:rPr>
          <w:rFonts w:hint="eastAsia" w:ascii="仿宋_GB2312" w:hAnsi="仿宋_GB2312" w:eastAsia="仿宋_GB2312" w:cs="仿宋_GB2312"/>
          <w:color w:val="auto"/>
          <w:sz w:val="32"/>
          <w:szCs w:val="32"/>
          <w:highlight w:val="none"/>
        </w:rPr>
        <w:t>HSE</w:t>
      </w:r>
      <w:r>
        <w:rPr>
          <w:rFonts w:hint="eastAsia" w:ascii="仿宋_GB2312" w:hAnsi="仿宋_GB2312" w:eastAsia="仿宋_GB2312" w:cs="仿宋_GB2312"/>
          <w:color w:val="auto"/>
          <w:spacing w:val="8"/>
          <w:sz w:val="32"/>
          <w:szCs w:val="32"/>
          <w:highlight w:val="none"/>
        </w:rPr>
        <w:t xml:space="preserve"> 内</w:t>
      </w:r>
      <w:r>
        <w:rPr>
          <w:rFonts w:hint="eastAsia" w:ascii="仿宋_GB2312" w:hAnsi="仿宋_GB2312" w:eastAsia="仿宋_GB2312" w:cs="仿宋_GB2312"/>
          <w:color w:val="auto"/>
          <w:spacing w:val="5"/>
          <w:sz w:val="32"/>
          <w:szCs w:val="32"/>
          <w:highlight w:val="none"/>
        </w:rPr>
        <w:t>容</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6"/>
          <w:sz w:val="32"/>
          <w:szCs w:val="32"/>
          <w:highlight w:val="none"/>
        </w:rPr>
        <w:t>描</w:t>
      </w:r>
      <w:r>
        <w:rPr>
          <w:rFonts w:hint="eastAsia" w:ascii="仿宋_GB2312" w:hAnsi="仿宋_GB2312" w:eastAsia="仿宋_GB2312" w:cs="仿宋_GB2312"/>
          <w:color w:val="auto"/>
          <w:spacing w:val="14"/>
          <w:sz w:val="32"/>
          <w:szCs w:val="32"/>
          <w:highlight w:val="none"/>
        </w:rPr>
        <w:t>述</w:t>
      </w:r>
      <w:r>
        <w:rPr>
          <w:rFonts w:hint="eastAsia" w:ascii="仿宋_GB2312" w:hAnsi="仿宋_GB2312" w:eastAsia="仿宋_GB2312" w:cs="仿宋_GB2312"/>
          <w:color w:val="auto"/>
          <w:spacing w:val="8"/>
          <w:sz w:val="32"/>
          <w:szCs w:val="32"/>
          <w:highlight w:val="none"/>
        </w:rPr>
        <w:t>、试剂配制过程记录、样品处理及测试过程记录、测试</w:t>
      </w:r>
      <w:r>
        <w:rPr>
          <w:rFonts w:hint="eastAsia" w:ascii="仿宋_GB2312" w:hAnsi="仿宋_GB2312" w:eastAsia="仿宋_GB2312" w:cs="仿宋_GB2312"/>
          <w:color w:val="auto"/>
          <w:spacing w:val="16"/>
          <w:sz w:val="32"/>
          <w:szCs w:val="32"/>
          <w:highlight w:val="none"/>
        </w:rPr>
        <w:t>结</w:t>
      </w:r>
      <w:r>
        <w:rPr>
          <w:rFonts w:hint="eastAsia" w:ascii="仿宋_GB2312" w:hAnsi="仿宋_GB2312" w:eastAsia="仿宋_GB2312" w:cs="仿宋_GB2312"/>
          <w:color w:val="auto"/>
          <w:spacing w:val="14"/>
          <w:sz w:val="32"/>
          <w:szCs w:val="32"/>
          <w:highlight w:val="none"/>
        </w:rPr>
        <w:t>果</w:t>
      </w:r>
      <w:r>
        <w:rPr>
          <w:rFonts w:hint="eastAsia" w:ascii="仿宋_GB2312" w:hAnsi="仿宋_GB2312" w:eastAsia="仿宋_GB2312" w:cs="仿宋_GB2312"/>
          <w:color w:val="auto"/>
          <w:spacing w:val="8"/>
          <w:sz w:val="32"/>
          <w:szCs w:val="32"/>
          <w:highlight w:val="none"/>
        </w:rPr>
        <w:t>计算过程及结果表达、紫外</w:t>
      </w:r>
      <w:r>
        <w:rPr>
          <w:rFonts w:hint="eastAsia" w:ascii="仿宋_GB2312" w:hAnsi="仿宋_GB2312" w:eastAsia="仿宋_GB2312" w:cs="仿宋_GB2312"/>
          <w:color w:val="auto"/>
          <w:spacing w:val="8"/>
          <w:sz w:val="32"/>
          <w:szCs w:val="32"/>
          <w:highlight w:val="none"/>
          <w:lang w:val="en-US" w:eastAsia="zh-CN"/>
        </w:rPr>
        <w:t>-</w:t>
      </w:r>
      <w:r>
        <w:rPr>
          <w:rFonts w:hint="eastAsia" w:ascii="仿宋_GB2312" w:hAnsi="仿宋_GB2312" w:eastAsia="仿宋_GB2312" w:cs="仿宋_GB2312"/>
          <w:color w:val="auto"/>
          <w:spacing w:val="8"/>
          <w:sz w:val="32"/>
          <w:szCs w:val="32"/>
          <w:highlight w:val="none"/>
        </w:rPr>
        <w:t>可见吸收曲线及标准曲线、</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8"/>
          <w:sz w:val="32"/>
          <w:szCs w:val="32"/>
          <w:highlight w:val="none"/>
        </w:rPr>
        <w:t>测定过程与测定结果的分析评价</w:t>
      </w:r>
      <w:r>
        <w:rPr>
          <w:rFonts w:hint="eastAsia" w:ascii="仿宋_GB2312" w:hAnsi="仿宋_GB2312" w:eastAsia="仿宋_GB2312" w:cs="仿宋_GB2312"/>
          <w:color w:val="auto"/>
          <w:spacing w:val="5"/>
          <w:sz w:val="32"/>
          <w:szCs w:val="32"/>
          <w:highlight w:val="none"/>
        </w:rPr>
        <w:t>。</w:t>
      </w:r>
    </w:p>
    <w:p w14:paraId="5F2FF5D1">
      <w:pPr>
        <w:adjustRightInd w:val="0"/>
        <w:snapToGrid w:val="0"/>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2"/>
          <w:sz w:val="32"/>
          <w:szCs w:val="32"/>
          <w:highlight w:val="none"/>
        </w:rPr>
        <w:t>(</w:t>
      </w:r>
      <w:r>
        <w:rPr>
          <w:rFonts w:hint="eastAsia" w:ascii="仿宋_GB2312" w:hAnsi="仿宋_GB2312" w:eastAsia="仿宋_GB2312" w:cs="仿宋_GB2312"/>
          <w:color w:val="auto"/>
          <w:spacing w:val="8"/>
          <w:sz w:val="32"/>
          <w:szCs w:val="32"/>
          <w:highlight w:val="none"/>
        </w:rPr>
        <w:t>2)报告用 WPS 办公软件编辑并打印上交。</w:t>
      </w:r>
    </w:p>
    <w:p w14:paraId="2F7E7389">
      <w:pPr>
        <w:rPr>
          <w:rFonts w:hint="eastAsia" w:ascii="仿宋_GB2312" w:hAnsi="仿宋_GB2312" w:eastAsia="仿宋_GB2312" w:cs="仿宋_GB2312"/>
          <w:color w:val="auto"/>
          <w:sz w:val="32"/>
          <w:szCs w:val="32"/>
          <w:highlight w:val="none"/>
        </w:rPr>
        <w:sectPr>
          <w:pgSz w:w="11906" w:h="16838"/>
          <w:pgMar w:top="2098" w:right="1531" w:bottom="1814" w:left="1531" w:header="851" w:footer="1587" w:gutter="0"/>
          <w:pgNumType w:fmt="numberInDash"/>
          <w:cols w:space="0" w:num="1"/>
          <w:docGrid w:type="linesAndChars" w:linePitch="319" w:charSpace="0"/>
        </w:sectPr>
      </w:pPr>
    </w:p>
    <w:p w14:paraId="6EE2DD03">
      <w:pPr>
        <w:adjustRightInd w:val="0"/>
        <w:snapToGrid w:val="0"/>
        <w:spacing w:line="360" w:lineRule="auto"/>
        <w:jc w:val="center"/>
        <w:outlineLvl w:val="0"/>
        <w:rPr>
          <w:rFonts w:hint="eastAsia" w:ascii="仿宋" w:hAnsi="仿宋" w:eastAsia="仿宋" w:cs="仿宋"/>
          <w:b/>
          <w:bCs/>
          <w:color w:val="auto"/>
          <w:sz w:val="32"/>
          <w:szCs w:val="32"/>
          <w:highlight w:val="none"/>
        </w:rPr>
      </w:pPr>
      <w:bookmarkStart w:id="55" w:name="_Toc22084"/>
      <w:bookmarkStart w:id="56" w:name="_Toc21358"/>
      <w:bookmarkStart w:id="57" w:name="_Toc4495"/>
      <w:r>
        <w:rPr>
          <w:rFonts w:hint="eastAsia" w:ascii="仿宋" w:hAnsi="仿宋" w:eastAsia="仿宋" w:cs="仿宋"/>
          <w:b/>
          <w:bCs/>
          <w:color w:val="auto"/>
          <w:sz w:val="32"/>
          <w:szCs w:val="32"/>
          <w:highlight w:val="none"/>
        </w:rPr>
        <w:t>模块C 电位滴定法测定样品中的组分含量</w:t>
      </w:r>
      <w:bookmarkEnd w:id="55"/>
      <w:bookmarkEnd w:id="56"/>
      <w:bookmarkEnd w:id="57"/>
    </w:p>
    <w:p w14:paraId="0A3F4B2B">
      <w:pPr>
        <w:pStyle w:val="2"/>
        <w:rPr>
          <w:rFonts w:hint="eastAsia" w:ascii="仿宋" w:hAnsi="仿宋" w:eastAsia="仿宋" w:cs="仿宋"/>
          <w:color w:val="auto"/>
          <w:sz w:val="32"/>
          <w:szCs w:val="32"/>
          <w:highlight w:val="none"/>
        </w:rPr>
      </w:pPr>
    </w:p>
    <w:p w14:paraId="6A12F2CC">
      <w:pPr>
        <w:adjustRightInd w:val="0"/>
        <w:snapToGrid w:val="0"/>
        <w:spacing w:line="360" w:lineRule="auto"/>
        <w:ind w:firstLine="640" w:firstLineChars="200"/>
        <w:outlineLvl w:val="0"/>
        <w:rPr>
          <w:rFonts w:hint="eastAsia" w:ascii="仿宋_GB2312" w:hAnsi="仿宋_GB2312" w:eastAsia="仿宋_GB2312" w:cs="仿宋_GB2312"/>
          <w:color w:val="auto"/>
          <w:sz w:val="32"/>
          <w:szCs w:val="32"/>
          <w:highlight w:val="none"/>
        </w:rPr>
      </w:pPr>
      <w:bookmarkStart w:id="58" w:name="_Toc9085"/>
      <w:bookmarkStart w:id="59" w:name="_Toc10638"/>
      <w:bookmarkStart w:id="60" w:name="_Toc15763"/>
      <w:r>
        <w:rPr>
          <w:rFonts w:hint="eastAsia" w:ascii="仿宋_GB2312" w:hAnsi="仿宋_GB2312" w:eastAsia="仿宋_GB2312" w:cs="仿宋_GB2312"/>
          <w:color w:val="auto"/>
          <w:sz w:val="32"/>
          <w:szCs w:val="32"/>
          <w:highlight w:val="none"/>
        </w:rPr>
        <w:t>一、竞赛要求</w:t>
      </w:r>
      <w:bookmarkEnd w:id="58"/>
      <w:bookmarkEnd w:id="59"/>
      <w:bookmarkEnd w:id="60"/>
    </w:p>
    <w:p w14:paraId="47B7B8CC">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选手须根据赛题要求独立完成实验并编辑、提交工作报告。</w:t>
      </w:r>
    </w:p>
    <w:p w14:paraId="77F63EA7">
      <w:pPr>
        <w:adjustRightInd w:val="0"/>
        <w:snapToGrid w:val="0"/>
        <w:spacing w:line="360" w:lineRule="auto"/>
        <w:ind w:firstLine="640" w:firstLineChars="200"/>
        <w:outlineLvl w:val="0"/>
        <w:rPr>
          <w:rFonts w:hint="eastAsia" w:ascii="仿宋_GB2312" w:hAnsi="仿宋_GB2312" w:eastAsia="仿宋_GB2312" w:cs="仿宋_GB2312"/>
          <w:color w:val="auto"/>
          <w:sz w:val="32"/>
          <w:szCs w:val="32"/>
          <w:highlight w:val="none"/>
        </w:rPr>
      </w:pPr>
      <w:bookmarkStart w:id="61" w:name="_Toc19576"/>
      <w:bookmarkStart w:id="62" w:name="_Toc25151"/>
      <w:bookmarkStart w:id="63" w:name="_Toc26599"/>
      <w:r>
        <w:rPr>
          <w:rFonts w:hint="eastAsia" w:ascii="仿宋_GB2312" w:hAnsi="仿宋_GB2312" w:eastAsia="仿宋_GB2312" w:cs="仿宋_GB2312"/>
          <w:color w:val="auto"/>
          <w:sz w:val="32"/>
          <w:szCs w:val="32"/>
          <w:highlight w:val="none"/>
        </w:rPr>
        <w:t>二、竞赛内容</w:t>
      </w:r>
      <w:bookmarkEnd w:id="61"/>
      <w:bookmarkEnd w:id="62"/>
      <w:bookmarkEnd w:id="63"/>
    </w:p>
    <w:p w14:paraId="72CE83D0">
      <w:pPr>
        <w:adjustRightInd w:val="0"/>
        <w:snapToGrid w:val="0"/>
        <w:spacing w:line="360" w:lineRule="auto"/>
        <w:ind w:firstLine="640" w:firstLineChars="200"/>
        <w:outlineLvl w:val="1"/>
        <w:rPr>
          <w:rFonts w:hint="eastAsia" w:ascii="仿宋_GB2312" w:hAnsi="仿宋_GB2312" w:eastAsia="仿宋_GB2312" w:cs="仿宋_GB2312"/>
          <w:color w:val="auto"/>
          <w:sz w:val="32"/>
          <w:szCs w:val="32"/>
          <w:highlight w:val="none"/>
        </w:rPr>
      </w:pPr>
      <w:bookmarkStart w:id="64" w:name="_Toc30223"/>
      <w:bookmarkStart w:id="65" w:name="_Toc24260"/>
      <w:bookmarkStart w:id="66" w:name="_Toc13330"/>
      <w:r>
        <w:rPr>
          <w:rFonts w:hint="eastAsia" w:ascii="仿宋_GB2312" w:hAnsi="仿宋_GB2312" w:eastAsia="仿宋_GB2312" w:cs="仿宋_GB2312"/>
          <w:color w:val="auto"/>
          <w:sz w:val="32"/>
          <w:szCs w:val="32"/>
          <w:highlight w:val="none"/>
        </w:rPr>
        <w:t>1.技术要求</w:t>
      </w:r>
      <w:bookmarkEnd w:id="64"/>
      <w:bookmarkEnd w:id="65"/>
      <w:bookmarkEnd w:id="66"/>
    </w:p>
    <w:p w14:paraId="0566DF3D">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woUserID w:val="7"/>
        </w:rPr>
        <w:t>预处理酸度计及电极</w:t>
      </w:r>
      <w:r>
        <w:rPr>
          <w:rFonts w:hint="eastAsia" w:ascii="仿宋_GB2312" w:hAnsi="仿宋_GB2312" w:eastAsia="仿宋_GB2312" w:cs="仿宋_GB2312"/>
          <w:color w:val="auto"/>
          <w:sz w:val="32"/>
          <w:szCs w:val="32"/>
          <w:highlight w:val="none"/>
        </w:rPr>
        <w:t>；</w:t>
      </w:r>
    </w:p>
    <w:p w14:paraId="41491997">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(2)标定标准滴定溶液；</w:t>
      </w:r>
    </w:p>
    <w:p w14:paraId="7E2DE887">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(3)测定样品中待测组分的含量；</w:t>
      </w:r>
    </w:p>
    <w:p w14:paraId="36956163">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(4)编辑并提交工作报告。</w:t>
      </w:r>
    </w:p>
    <w:p w14:paraId="2FA4AFFD">
      <w:pPr>
        <w:adjustRightInd w:val="0"/>
        <w:snapToGrid w:val="0"/>
        <w:spacing w:line="360" w:lineRule="auto"/>
        <w:ind w:firstLine="640" w:firstLineChars="200"/>
        <w:outlineLvl w:val="1"/>
        <w:rPr>
          <w:rFonts w:hint="eastAsia" w:ascii="仿宋_GB2312" w:hAnsi="仿宋_GB2312" w:eastAsia="仿宋_GB2312" w:cs="仿宋_GB2312"/>
          <w:color w:val="auto"/>
          <w:sz w:val="32"/>
          <w:szCs w:val="32"/>
          <w:highlight w:val="none"/>
        </w:rPr>
      </w:pPr>
      <w:bookmarkStart w:id="67" w:name="_Toc661"/>
      <w:bookmarkStart w:id="68" w:name="_Toc7625"/>
      <w:bookmarkStart w:id="69" w:name="_Toc295"/>
      <w:r>
        <w:rPr>
          <w:rFonts w:hint="eastAsia" w:ascii="仿宋_GB2312" w:hAnsi="仿宋_GB2312" w:eastAsia="仿宋_GB2312" w:cs="仿宋_GB2312"/>
          <w:color w:val="auto"/>
          <w:sz w:val="32"/>
          <w:szCs w:val="32"/>
          <w:highlight w:val="none"/>
        </w:rPr>
        <w:t>2.竞赛时间</w:t>
      </w:r>
      <w:bookmarkEnd w:id="67"/>
      <w:bookmarkEnd w:id="68"/>
      <w:bookmarkEnd w:id="69"/>
    </w:p>
    <w:p w14:paraId="7C6662D3">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总时间为</w:t>
      </w:r>
      <w:r>
        <w:rPr>
          <w:rFonts w:hint="eastAsia" w:ascii="仿宋_GB2312" w:hAnsi="仿宋_GB2312" w:eastAsia="仿宋_GB2312" w:cs="仿宋_GB2312"/>
          <w:color w:val="auto"/>
          <w:sz w:val="32"/>
          <w:szCs w:val="32"/>
          <w:highlight w:val="none"/>
          <w:lang w:val="en-US" w:eastAsia="zh-CN"/>
        </w:rPr>
        <w:t>180min</w:t>
      </w:r>
      <w:r>
        <w:rPr>
          <w:rFonts w:hint="eastAsia" w:ascii="仿宋_GB2312" w:hAnsi="仿宋_GB2312" w:eastAsia="仿宋_GB2312" w:cs="仿宋_GB2312"/>
          <w:color w:val="auto"/>
          <w:sz w:val="32"/>
          <w:szCs w:val="32"/>
          <w:highlight w:val="none"/>
        </w:rPr>
        <w:t>，包括</w:t>
      </w:r>
      <w:r>
        <w:rPr>
          <w:rFonts w:hint="eastAsia" w:ascii="仿宋_GB2312" w:hAnsi="仿宋_GB2312" w:eastAsia="仿宋_GB2312" w:cs="仿宋_GB2312"/>
          <w:color w:val="auto"/>
          <w:sz w:val="32"/>
          <w:szCs w:val="32"/>
          <w:highlight w:val="none"/>
          <w:lang w:eastAsia="zh"/>
          <w:woUserID w:val="7"/>
        </w:rPr>
        <w:t>酸度计及电极</w:t>
      </w:r>
      <w:r>
        <w:rPr>
          <w:rFonts w:hint="eastAsia" w:ascii="仿宋_GB2312" w:hAnsi="仿宋_GB2312" w:eastAsia="仿宋_GB2312" w:cs="仿宋_GB2312"/>
          <w:color w:val="auto"/>
          <w:sz w:val="32"/>
          <w:szCs w:val="32"/>
          <w:highlight w:val="none"/>
          <w:woUserID w:val="7"/>
        </w:rPr>
        <w:t>预处理</w:t>
      </w:r>
      <w:r>
        <w:rPr>
          <w:rFonts w:hint="eastAsia" w:ascii="仿宋_GB2312" w:hAnsi="仿宋_GB2312" w:eastAsia="仿宋_GB2312" w:cs="仿宋_GB2312"/>
          <w:color w:val="auto"/>
          <w:sz w:val="32"/>
          <w:szCs w:val="32"/>
          <w:highlight w:val="none"/>
        </w:rPr>
        <w:t>时间、标准滴定溶液标定时间、样品测定时间、结果处理与报告编辑时间、实验工位清洁整理时间。</w:t>
      </w:r>
    </w:p>
    <w:p w14:paraId="472B540A">
      <w:pPr>
        <w:adjustRightInd w:val="0"/>
        <w:snapToGrid w:val="0"/>
        <w:spacing w:line="360" w:lineRule="auto"/>
        <w:ind w:firstLine="640" w:firstLineChars="200"/>
        <w:outlineLvl w:val="1"/>
        <w:rPr>
          <w:rFonts w:hint="eastAsia" w:ascii="仿宋_GB2312" w:hAnsi="仿宋_GB2312" w:eastAsia="仿宋_GB2312" w:cs="仿宋_GB2312"/>
          <w:color w:val="auto"/>
          <w:sz w:val="32"/>
          <w:szCs w:val="32"/>
          <w:highlight w:val="none"/>
        </w:rPr>
      </w:pPr>
      <w:bookmarkStart w:id="70" w:name="_Toc19380"/>
      <w:bookmarkStart w:id="71" w:name="_Toc9966"/>
      <w:bookmarkStart w:id="72" w:name="_Toc16303"/>
      <w:r>
        <w:rPr>
          <w:rFonts w:hint="eastAsia" w:ascii="仿宋_GB2312" w:hAnsi="仿宋_GB2312" w:eastAsia="仿宋_GB2312" w:cs="仿宋_GB2312"/>
          <w:color w:val="auto"/>
          <w:sz w:val="32"/>
          <w:szCs w:val="32"/>
          <w:highlight w:val="none"/>
        </w:rPr>
        <w:t>3.技术支撑</w:t>
      </w:r>
      <w:bookmarkEnd w:id="70"/>
      <w:bookmarkEnd w:id="71"/>
      <w:bookmarkEnd w:id="72"/>
    </w:p>
    <w:p w14:paraId="1E9A017C">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(1)仪器、试剂</w:t>
      </w:r>
    </w:p>
    <w:p w14:paraId="45F67E34">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本模块用到的仪器与试剂、耗材见本技术工作文件中《基础设施清单》和《试剂、溶液清单》。</w:t>
      </w:r>
    </w:p>
    <w:p w14:paraId="22562EAD">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
          <w:woUserID w:val="7"/>
        </w:rPr>
        <w:t>酸度计及电极</w:t>
      </w:r>
      <w:r>
        <w:rPr>
          <w:rFonts w:hint="eastAsia" w:ascii="仿宋_GB2312" w:hAnsi="仿宋_GB2312" w:eastAsia="仿宋_GB2312" w:cs="仿宋_GB2312"/>
          <w:color w:val="auto"/>
          <w:sz w:val="32"/>
          <w:szCs w:val="32"/>
          <w:highlight w:val="none"/>
          <w:woUserID w:val="7"/>
        </w:rPr>
        <w:t>预处理</w:t>
      </w:r>
    </w:p>
    <w:p w14:paraId="082D41AB">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w:t>
      </w:r>
      <w:r>
        <w:rPr>
          <w:rFonts w:hint="eastAsia" w:ascii="仿宋_GB2312" w:hAnsi="仿宋_GB2312" w:eastAsia="仿宋_GB2312" w:cs="仿宋_GB2312"/>
          <w:color w:val="auto"/>
          <w:sz w:val="32"/>
          <w:szCs w:val="32"/>
          <w:highlight w:val="none"/>
          <w:lang w:eastAsia="zh"/>
          <w:woUserID w:val="7"/>
        </w:rPr>
        <w:t>测定</w:t>
      </w:r>
      <w:r>
        <w:rPr>
          <w:rFonts w:hint="eastAsia" w:ascii="仿宋_GB2312" w:hAnsi="仿宋_GB2312" w:eastAsia="仿宋_GB2312" w:cs="仿宋_GB2312"/>
          <w:color w:val="auto"/>
          <w:sz w:val="32"/>
          <w:szCs w:val="32"/>
          <w:highlight w:val="none"/>
        </w:rPr>
        <w:t>要求及酸度计操作规程，进行</w:t>
      </w:r>
      <w:r>
        <w:rPr>
          <w:rFonts w:hint="eastAsia" w:ascii="仿宋_GB2312" w:hAnsi="仿宋_GB2312" w:eastAsia="仿宋_GB2312" w:cs="仿宋_GB2312"/>
          <w:color w:val="auto"/>
          <w:sz w:val="32"/>
          <w:szCs w:val="32"/>
          <w:highlight w:val="none"/>
          <w:lang w:eastAsia="zh"/>
          <w:woUserID w:val="7"/>
        </w:rPr>
        <w:t>酸度计及电极</w:t>
      </w:r>
      <w:r>
        <w:rPr>
          <w:rFonts w:hint="eastAsia" w:ascii="仿宋_GB2312" w:hAnsi="仿宋_GB2312" w:eastAsia="仿宋_GB2312" w:cs="仿宋_GB2312"/>
          <w:color w:val="auto"/>
          <w:sz w:val="32"/>
          <w:szCs w:val="32"/>
          <w:highlight w:val="none"/>
          <w:woUserID w:val="7"/>
        </w:rPr>
        <w:t>预处理</w:t>
      </w:r>
      <w:r>
        <w:rPr>
          <w:rFonts w:hint="eastAsia" w:ascii="仿宋_GB2312" w:hAnsi="仿宋_GB2312" w:eastAsia="仿宋_GB2312" w:cs="仿宋_GB2312"/>
          <w:color w:val="auto"/>
          <w:sz w:val="32"/>
          <w:szCs w:val="32"/>
          <w:highlight w:val="none"/>
        </w:rPr>
        <w:t>；</w:t>
      </w:r>
    </w:p>
    <w:p w14:paraId="2437B769">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(3)标准滴定溶液标定</w:t>
      </w:r>
    </w:p>
    <w:p w14:paraId="71E1FC4C">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取适量的标准溶液，按照赛题的要求进行标准滴定溶液的标定。</w:t>
      </w:r>
    </w:p>
    <w:p w14:paraId="3E2D5CB8">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(4)样品测定</w:t>
      </w:r>
    </w:p>
    <w:p w14:paraId="39ED14BC">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取适量的样品，按照赛题的要求进行样品的测定。</w:t>
      </w:r>
    </w:p>
    <w:p w14:paraId="3783D35A">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(5)结果计算</w:t>
      </w:r>
    </w:p>
    <w:p w14:paraId="74BBF08E">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根据标准滴定溶液标定数据，计算标准滴定溶液的浓度，并评估标定的重复性；根据样品测定数据，确定待测组分、计算待测组分的含量，并评估测定的重复性。</w:t>
      </w:r>
    </w:p>
    <w:p w14:paraId="73733B0D">
      <w:pPr>
        <w:adjustRightInd w:val="0"/>
        <w:snapToGrid w:val="0"/>
        <w:spacing w:line="360" w:lineRule="auto"/>
        <w:ind w:firstLine="640" w:firstLineChars="200"/>
        <w:outlineLvl w:val="1"/>
        <w:rPr>
          <w:rFonts w:hint="eastAsia" w:ascii="仿宋_GB2312" w:hAnsi="仿宋_GB2312" w:eastAsia="仿宋_GB2312" w:cs="仿宋_GB2312"/>
          <w:color w:val="auto"/>
          <w:sz w:val="32"/>
          <w:szCs w:val="32"/>
          <w:highlight w:val="none"/>
        </w:rPr>
      </w:pPr>
      <w:bookmarkStart w:id="73" w:name="_Toc9387"/>
      <w:bookmarkStart w:id="74" w:name="_Toc10814"/>
      <w:bookmarkStart w:id="75" w:name="_Toc26068"/>
      <w:r>
        <w:rPr>
          <w:rFonts w:hint="eastAsia" w:ascii="仿宋_GB2312" w:hAnsi="仿宋_GB2312" w:eastAsia="仿宋_GB2312" w:cs="仿宋_GB2312"/>
          <w:color w:val="auto"/>
          <w:sz w:val="32"/>
          <w:szCs w:val="32"/>
          <w:highlight w:val="none"/>
        </w:rPr>
        <w:t>4.提交报告</w:t>
      </w:r>
      <w:bookmarkEnd w:id="73"/>
      <w:bookmarkEnd w:id="74"/>
      <w:bookmarkEnd w:id="75"/>
    </w:p>
    <w:p w14:paraId="4197A65E">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(1)按照行业规范撰写实验报告，内容包括：HSE 内容 描述、仪器校准过程记录及结果表达、标准滴定溶液标定过程记录、标准滴定溶液标定结果计算过程及表达、样品测定过程记录、样品测定结果计算过程及表达、实验过程与结果的分析评价。</w:t>
      </w:r>
    </w:p>
    <w:p w14:paraId="758FD856">
      <w:pPr>
        <w:adjustRightInd w:val="0"/>
        <w:snapToGrid w:val="0"/>
        <w:spacing w:line="360" w:lineRule="auto"/>
        <w:ind w:firstLine="640" w:firstLineChars="200"/>
        <w:rPr>
          <w:rFonts w:hint="eastAsia" w:ascii="仿宋_GB2312" w:hAnsi="仿宋_GB2312" w:eastAsia="仿宋_GB2312" w:cs="仿宋_GB2312"/>
          <w:color w:val="auto"/>
          <w:sz w:val="32"/>
          <w:szCs w:val="32"/>
          <w:highlight w:val="none"/>
        </w:rPr>
        <w:sectPr>
          <w:pgSz w:w="11906" w:h="16838"/>
          <w:pgMar w:top="2098" w:right="1531" w:bottom="1814" w:left="1531" w:header="851" w:footer="1587" w:gutter="0"/>
          <w:pgNumType w:fmt="numberInDash"/>
          <w:cols w:space="0" w:num="1"/>
          <w:docGrid w:type="linesAndChars" w:linePitch="319" w:charSpace="0"/>
        </w:sectPr>
      </w:pPr>
      <w:r>
        <w:rPr>
          <w:rFonts w:hint="eastAsia" w:ascii="仿宋_GB2312" w:hAnsi="仿宋_GB2312" w:eastAsia="仿宋_GB2312" w:cs="仿宋_GB2312"/>
          <w:color w:val="auto"/>
          <w:sz w:val="32"/>
          <w:szCs w:val="32"/>
          <w:highlight w:val="none"/>
        </w:rPr>
        <w:t>(2)报告用 WPS 办公软件编辑并打印上交。</w:t>
      </w:r>
    </w:p>
    <w:p w14:paraId="434CA893">
      <w:pPr>
        <w:spacing w:line="360" w:lineRule="auto"/>
        <w:jc w:val="center"/>
        <w:outlineLvl w:val="0"/>
        <w:rPr>
          <w:rFonts w:hint="eastAsia" w:ascii="仿宋" w:hAnsi="仿宋" w:eastAsia="仿宋" w:cs="仿宋"/>
          <w:b/>
          <w:bCs/>
          <w:color w:val="auto"/>
          <w:spacing w:val="8"/>
          <w:position w:val="3"/>
          <w:sz w:val="32"/>
          <w:szCs w:val="32"/>
          <w:highlight w:val="none"/>
        </w:rPr>
      </w:pPr>
      <w:bookmarkStart w:id="76" w:name="_Toc21143"/>
      <w:bookmarkStart w:id="77" w:name="_Toc7947"/>
      <w:bookmarkStart w:id="78" w:name="_Toc3836"/>
      <w:r>
        <w:rPr>
          <w:rFonts w:hint="eastAsia" w:ascii="仿宋" w:hAnsi="仿宋" w:eastAsia="仿宋" w:cs="仿宋"/>
          <w:b/>
          <w:bCs/>
          <w:color w:val="auto"/>
          <w:spacing w:val="8"/>
          <w:position w:val="3"/>
          <w:sz w:val="32"/>
          <w:szCs w:val="32"/>
          <w:highlight w:val="none"/>
        </w:rPr>
        <w:t>模块D 有机物的合成</w:t>
      </w:r>
      <w:bookmarkEnd w:id="76"/>
      <w:bookmarkEnd w:id="77"/>
      <w:bookmarkEnd w:id="78"/>
    </w:p>
    <w:p w14:paraId="3F59B0DA">
      <w:pPr>
        <w:pStyle w:val="2"/>
        <w:rPr>
          <w:rFonts w:hint="eastAsia" w:ascii="仿宋" w:hAnsi="仿宋" w:eastAsia="仿宋" w:cs="仿宋"/>
          <w:color w:val="auto"/>
          <w:sz w:val="32"/>
          <w:szCs w:val="32"/>
          <w:highlight w:val="none"/>
        </w:rPr>
      </w:pPr>
    </w:p>
    <w:p w14:paraId="55D856A5">
      <w:pPr>
        <w:spacing w:line="360" w:lineRule="auto"/>
        <w:ind w:firstLine="672" w:firstLineChars="200"/>
        <w:outlineLvl w:val="0"/>
        <w:rPr>
          <w:rFonts w:hint="eastAsia" w:ascii="仿宋_GB2312" w:hAnsi="仿宋_GB2312" w:eastAsia="仿宋_GB2312" w:cs="仿宋_GB2312"/>
          <w:color w:val="auto"/>
          <w:sz w:val="32"/>
          <w:szCs w:val="32"/>
          <w:highlight w:val="none"/>
        </w:rPr>
      </w:pPr>
      <w:bookmarkStart w:id="79" w:name="_Toc9883"/>
      <w:bookmarkStart w:id="80" w:name="_Toc28388"/>
      <w:bookmarkStart w:id="81" w:name="_Toc31076"/>
      <w:r>
        <w:rPr>
          <w:rFonts w:hint="eastAsia" w:ascii="仿宋_GB2312" w:hAnsi="仿宋_GB2312" w:eastAsia="仿宋_GB2312" w:cs="仿宋_GB2312"/>
          <w:color w:val="auto"/>
          <w:spacing w:val="8"/>
          <w:position w:val="3"/>
          <w:sz w:val="32"/>
          <w:szCs w:val="32"/>
          <w:highlight w:val="none"/>
        </w:rPr>
        <w:t>一</w:t>
      </w:r>
      <w:r>
        <w:rPr>
          <w:rFonts w:hint="eastAsia" w:ascii="仿宋_GB2312" w:hAnsi="仿宋_GB2312" w:eastAsia="仿宋_GB2312" w:cs="仿宋_GB2312"/>
          <w:color w:val="auto"/>
          <w:spacing w:val="5"/>
          <w:position w:val="3"/>
          <w:sz w:val="32"/>
          <w:szCs w:val="32"/>
          <w:highlight w:val="none"/>
        </w:rPr>
        <w:t>、竞赛要求</w:t>
      </w:r>
      <w:bookmarkEnd w:id="79"/>
      <w:bookmarkEnd w:id="80"/>
      <w:bookmarkEnd w:id="81"/>
    </w:p>
    <w:p w14:paraId="42578C1F">
      <w:pPr>
        <w:spacing w:line="360" w:lineRule="auto"/>
        <w:ind w:left="35" w:right="105" w:firstLine="644"/>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4"/>
          <w:sz w:val="32"/>
          <w:szCs w:val="32"/>
          <w:highlight w:val="none"/>
        </w:rPr>
        <w:t>选</w:t>
      </w:r>
      <w:r>
        <w:rPr>
          <w:rFonts w:hint="eastAsia" w:ascii="仿宋_GB2312" w:hAnsi="仿宋_GB2312" w:eastAsia="仿宋_GB2312" w:cs="仿宋_GB2312"/>
          <w:color w:val="auto"/>
          <w:spacing w:val="8"/>
          <w:sz w:val="32"/>
          <w:szCs w:val="32"/>
          <w:highlight w:val="none"/>
        </w:rPr>
        <w:t>手须根据赛题要求独立完成实验并编辑、提交工作报</w:t>
      </w:r>
      <w:r>
        <w:rPr>
          <w:rFonts w:hint="eastAsia" w:ascii="仿宋_GB2312" w:hAnsi="仿宋_GB2312" w:eastAsia="仿宋_GB2312" w:cs="仿宋_GB2312"/>
          <w:color w:val="auto"/>
          <w:spacing w:val="-7"/>
          <w:sz w:val="32"/>
          <w:szCs w:val="32"/>
          <w:highlight w:val="none"/>
        </w:rPr>
        <w:t>告</w:t>
      </w:r>
      <w:r>
        <w:rPr>
          <w:rFonts w:hint="eastAsia" w:ascii="仿宋_GB2312" w:hAnsi="仿宋_GB2312" w:eastAsia="仿宋_GB2312" w:cs="仿宋_GB2312"/>
          <w:color w:val="auto"/>
          <w:spacing w:val="-6"/>
          <w:sz w:val="32"/>
          <w:szCs w:val="32"/>
          <w:highlight w:val="none"/>
        </w:rPr>
        <w:t>。</w:t>
      </w:r>
    </w:p>
    <w:p w14:paraId="2C0BCA4F">
      <w:pPr>
        <w:spacing w:line="360" w:lineRule="auto"/>
        <w:ind w:left="686"/>
        <w:outlineLvl w:val="0"/>
        <w:rPr>
          <w:rFonts w:hint="eastAsia" w:ascii="仿宋_GB2312" w:hAnsi="仿宋_GB2312" w:eastAsia="仿宋_GB2312" w:cs="仿宋_GB2312"/>
          <w:color w:val="auto"/>
          <w:sz w:val="32"/>
          <w:szCs w:val="32"/>
          <w:highlight w:val="none"/>
        </w:rPr>
      </w:pPr>
      <w:bookmarkStart w:id="82" w:name="_Toc32161"/>
      <w:bookmarkStart w:id="83" w:name="_Toc22420"/>
      <w:bookmarkStart w:id="84" w:name="_Toc14135"/>
      <w:r>
        <w:rPr>
          <w:rFonts w:hint="eastAsia" w:ascii="仿宋_GB2312" w:hAnsi="仿宋_GB2312" w:eastAsia="仿宋_GB2312" w:cs="仿宋_GB2312"/>
          <w:color w:val="auto"/>
          <w:spacing w:val="8"/>
          <w:position w:val="2"/>
          <w:sz w:val="32"/>
          <w:szCs w:val="32"/>
          <w:highlight w:val="none"/>
        </w:rPr>
        <w:t>二</w:t>
      </w:r>
      <w:r>
        <w:rPr>
          <w:rFonts w:hint="eastAsia" w:ascii="仿宋_GB2312" w:hAnsi="仿宋_GB2312" w:eastAsia="仿宋_GB2312" w:cs="仿宋_GB2312"/>
          <w:color w:val="auto"/>
          <w:spacing w:val="4"/>
          <w:position w:val="2"/>
          <w:sz w:val="32"/>
          <w:szCs w:val="32"/>
          <w:highlight w:val="none"/>
        </w:rPr>
        <w:t>、竞赛内容</w:t>
      </w:r>
      <w:bookmarkEnd w:id="82"/>
      <w:bookmarkEnd w:id="83"/>
      <w:bookmarkEnd w:id="84"/>
    </w:p>
    <w:p w14:paraId="68A2C3F4">
      <w:pPr>
        <w:spacing w:line="360" w:lineRule="auto"/>
        <w:ind w:left="689"/>
        <w:outlineLvl w:val="1"/>
        <w:rPr>
          <w:rFonts w:hint="eastAsia" w:ascii="仿宋_GB2312" w:hAnsi="仿宋_GB2312" w:eastAsia="仿宋_GB2312" w:cs="仿宋_GB2312"/>
          <w:color w:val="auto"/>
          <w:sz w:val="32"/>
          <w:szCs w:val="32"/>
          <w:highlight w:val="none"/>
        </w:rPr>
      </w:pPr>
      <w:bookmarkStart w:id="85" w:name="_Toc10243"/>
      <w:bookmarkStart w:id="86" w:name="_Toc11982"/>
      <w:bookmarkStart w:id="87" w:name="_Toc2505"/>
      <w:r>
        <w:rPr>
          <w:rFonts w:hint="eastAsia" w:ascii="仿宋_GB2312" w:hAnsi="仿宋_GB2312" w:eastAsia="仿宋_GB2312" w:cs="仿宋_GB2312"/>
          <w:color w:val="auto"/>
          <w:spacing w:val="3"/>
          <w:position w:val="2"/>
          <w:sz w:val="32"/>
          <w:szCs w:val="32"/>
          <w:highlight w:val="none"/>
        </w:rPr>
        <w:t>1</w:t>
      </w:r>
      <w:r>
        <w:rPr>
          <w:rFonts w:hint="eastAsia" w:ascii="仿宋_GB2312" w:hAnsi="仿宋_GB2312" w:eastAsia="仿宋_GB2312" w:cs="仿宋_GB2312"/>
          <w:color w:val="auto"/>
          <w:spacing w:val="2"/>
          <w:position w:val="2"/>
          <w:sz w:val="32"/>
          <w:szCs w:val="32"/>
          <w:highlight w:val="none"/>
        </w:rPr>
        <w:t>.技术要求</w:t>
      </w:r>
      <w:bookmarkEnd w:id="85"/>
      <w:bookmarkEnd w:id="86"/>
      <w:bookmarkEnd w:id="87"/>
    </w:p>
    <w:p w14:paraId="3014C9BB">
      <w:pPr>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3"/>
          <w:sz w:val="32"/>
          <w:szCs w:val="32"/>
          <w:highlight w:val="none"/>
        </w:rPr>
        <w:t>(</w:t>
      </w:r>
      <w:r>
        <w:rPr>
          <w:rFonts w:hint="eastAsia" w:ascii="仿宋_GB2312" w:hAnsi="仿宋_GB2312" w:eastAsia="仿宋_GB2312" w:cs="仿宋_GB2312"/>
          <w:color w:val="auto"/>
          <w:spacing w:val="19"/>
          <w:sz w:val="32"/>
          <w:szCs w:val="32"/>
          <w:highlight w:val="none"/>
        </w:rPr>
        <w:t>1)配制相关溶液；</w:t>
      </w:r>
    </w:p>
    <w:p w14:paraId="7687723D">
      <w:pPr>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w:t>
      </w:r>
      <w:r>
        <w:rPr>
          <w:rFonts w:hint="eastAsia" w:ascii="仿宋_GB2312" w:hAnsi="仿宋_GB2312" w:eastAsia="仿宋_GB2312" w:cs="仿宋_GB2312"/>
          <w:color w:val="auto"/>
          <w:spacing w:val="20"/>
          <w:sz w:val="32"/>
          <w:szCs w:val="32"/>
          <w:highlight w:val="none"/>
        </w:rPr>
        <w:t>2)搭建合成装置；</w:t>
      </w:r>
    </w:p>
    <w:p w14:paraId="358D3234">
      <w:pPr>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8"/>
          <w:sz w:val="32"/>
          <w:szCs w:val="32"/>
          <w:highlight w:val="none"/>
        </w:rPr>
        <w:t>(3)合成与提纯目标有机物；</w:t>
      </w:r>
    </w:p>
    <w:p w14:paraId="4B36FA8C">
      <w:pPr>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7"/>
          <w:sz w:val="32"/>
          <w:szCs w:val="32"/>
          <w:highlight w:val="none"/>
        </w:rPr>
        <w:t>(</w:t>
      </w:r>
      <w:r>
        <w:rPr>
          <w:rFonts w:hint="eastAsia" w:ascii="仿宋_GB2312" w:hAnsi="仿宋_GB2312" w:eastAsia="仿宋_GB2312" w:cs="仿宋_GB2312"/>
          <w:color w:val="auto"/>
          <w:spacing w:val="16"/>
          <w:sz w:val="32"/>
          <w:szCs w:val="32"/>
          <w:highlight w:val="none"/>
        </w:rPr>
        <w:t>4)称量产品重量并测量折光率；</w:t>
      </w:r>
    </w:p>
    <w:p w14:paraId="529E6E64">
      <w:pPr>
        <w:spacing w:line="360" w:lineRule="auto"/>
        <w:ind w:left="6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2"/>
          <w:sz w:val="32"/>
          <w:szCs w:val="32"/>
          <w:highlight w:val="none"/>
        </w:rPr>
        <w:t>(</w:t>
      </w:r>
      <w:r>
        <w:rPr>
          <w:rFonts w:hint="eastAsia" w:ascii="仿宋_GB2312" w:hAnsi="仿宋_GB2312" w:eastAsia="仿宋_GB2312" w:cs="仿宋_GB2312"/>
          <w:color w:val="auto"/>
          <w:spacing w:val="17"/>
          <w:sz w:val="32"/>
          <w:szCs w:val="32"/>
          <w:highlight w:val="none"/>
        </w:rPr>
        <w:t>5)编辑并提交工作报告。</w:t>
      </w:r>
    </w:p>
    <w:p w14:paraId="6B43071E">
      <w:pPr>
        <w:spacing w:line="360" w:lineRule="auto"/>
        <w:ind w:left="669"/>
        <w:outlineLvl w:val="1"/>
        <w:rPr>
          <w:rFonts w:hint="eastAsia" w:ascii="仿宋_GB2312" w:hAnsi="仿宋_GB2312" w:eastAsia="仿宋_GB2312" w:cs="仿宋_GB2312"/>
          <w:color w:val="auto"/>
          <w:sz w:val="32"/>
          <w:szCs w:val="32"/>
          <w:highlight w:val="none"/>
        </w:rPr>
      </w:pPr>
      <w:bookmarkStart w:id="88" w:name="_Toc32571"/>
      <w:bookmarkStart w:id="89" w:name="_Toc31814"/>
      <w:bookmarkStart w:id="90" w:name="_Toc28863"/>
      <w:r>
        <w:rPr>
          <w:rFonts w:hint="eastAsia" w:ascii="仿宋_GB2312" w:hAnsi="仿宋_GB2312" w:eastAsia="仿宋_GB2312" w:cs="仿宋_GB2312"/>
          <w:color w:val="auto"/>
          <w:spacing w:val="8"/>
          <w:position w:val="2"/>
          <w:sz w:val="32"/>
          <w:szCs w:val="32"/>
          <w:highlight w:val="none"/>
        </w:rPr>
        <w:t>2</w:t>
      </w:r>
      <w:r>
        <w:rPr>
          <w:rFonts w:hint="eastAsia" w:ascii="仿宋_GB2312" w:hAnsi="仿宋_GB2312" w:eastAsia="仿宋_GB2312" w:cs="仿宋_GB2312"/>
          <w:color w:val="auto"/>
          <w:spacing w:val="5"/>
          <w:position w:val="2"/>
          <w:sz w:val="32"/>
          <w:szCs w:val="32"/>
          <w:highlight w:val="none"/>
        </w:rPr>
        <w:t>.竞赛时间</w:t>
      </w:r>
      <w:bookmarkEnd w:id="88"/>
      <w:bookmarkEnd w:id="89"/>
      <w:bookmarkEnd w:id="90"/>
    </w:p>
    <w:p w14:paraId="17AE6485">
      <w:pPr>
        <w:spacing w:line="360" w:lineRule="auto"/>
        <w:ind w:left="41" w:firstLine="648"/>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0"/>
          <w:sz w:val="32"/>
          <w:szCs w:val="32"/>
          <w:highlight w:val="none"/>
        </w:rPr>
        <w:t>总</w:t>
      </w:r>
      <w:r>
        <w:rPr>
          <w:rFonts w:hint="eastAsia" w:ascii="仿宋_GB2312" w:hAnsi="仿宋_GB2312" w:eastAsia="仿宋_GB2312" w:cs="仿宋_GB2312"/>
          <w:color w:val="auto"/>
          <w:spacing w:val="-6"/>
          <w:sz w:val="32"/>
          <w:szCs w:val="32"/>
          <w:highlight w:val="none"/>
        </w:rPr>
        <w:t>时间为</w:t>
      </w:r>
      <w:r>
        <w:rPr>
          <w:rFonts w:hint="eastAsia" w:ascii="仿宋_GB2312" w:hAnsi="仿宋_GB2312" w:eastAsia="仿宋_GB2312" w:cs="仿宋_GB2312"/>
          <w:color w:val="auto"/>
          <w:spacing w:val="-6"/>
          <w:sz w:val="32"/>
          <w:szCs w:val="32"/>
          <w:highlight w:val="none"/>
          <w:lang w:val="en-US" w:eastAsia="zh-CN"/>
        </w:rPr>
        <w:t>180min</w:t>
      </w:r>
      <w:r>
        <w:rPr>
          <w:rFonts w:hint="eastAsia" w:ascii="仿宋_GB2312" w:hAnsi="仿宋_GB2312" w:eastAsia="仿宋_GB2312" w:cs="仿宋_GB2312"/>
          <w:color w:val="auto"/>
          <w:spacing w:val="-6"/>
          <w:sz w:val="32"/>
          <w:szCs w:val="32"/>
          <w:highlight w:val="none"/>
        </w:rPr>
        <w:t>，包括实验准备时间、合成与提纯时间、</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15"/>
          <w:sz w:val="32"/>
          <w:szCs w:val="32"/>
          <w:highlight w:val="none"/>
        </w:rPr>
        <w:t>结</w:t>
      </w:r>
      <w:r>
        <w:rPr>
          <w:rFonts w:hint="eastAsia" w:ascii="仿宋_GB2312" w:hAnsi="仿宋_GB2312" w:eastAsia="仿宋_GB2312" w:cs="仿宋_GB2312"/>
          <w:color w:val="auto"/>
          <w:spacing w:val="8"/>
          <w:sz w:val="32"/>
          <w:szCs w:val="32"/>
          <w:highlight w:val="none"/>
        </w:rPr>
        <w:t>果处理与报告编辑时间、实验工位清洁整理时间。</w:t>
      </w:r>
    </w:p>
    <w:p w14:paraId="1400FC80">
      <w:pPr>
        <w:spacing w:line="360" w:lineRule="auto"/>
        <w:ind w:left="672"/>
        <w:outlineLvl w:val="1"/>
        <w:rPr>
          <w:rFonts w:hint="eastAsia" w:ascii="仿宋_GB2312" w:hAnsi="仿宋_GB2312" w:eastAsia="仿宋_GB2312" w:cs="仿宋_GB2312"/>
          <w:color w:val="auto"/>
          <w:sz w:val="32"/>
          <w:szCs w:val="32"/>
          <w:highlight w:val="none"/>
        </w:rPr>
      </w:pPr>
      <w:bookmarkStart w:id="91" w:name="_Toc17750"/>
      <w:bookmarkStart w:id="92" w:name="_Toc14162"/>
      <w:bookmarkStart w:id="93" w:name="_Toc10342"/>
      <w:r>
        <w:rPr>
          <w:rFonts w:hint="eastAsia" w:ascii="仿宋_GB2312" w:hAnsi="仿宋_GB2312" w:eastAsia="仿宋_GB2312" w:cs="仿宋_GB2312"/>
          <w:color w:val="auto"/>
          <w:spacing w:val="5"/>
          <w:position w:val="2"/>
          <w:sz w:val="32"/>
          <w:szCs w:val="32"/>
          <w:highlight w:val="none"/>
        </w:rPr>
        <w:t>3.技术支撑</w:t>
      </w:r>
      <w:bookmarkEnd w:id="91"/>
      <w:bookmarkEnd w:id="92"/>
      <w:bookmarkEnd w:id="93"/>
    </w:p>
    <w:p w14:paraId="1175A292">
      <w:pPr>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8"/>
          <w:sz w:val="32"/>
          <w:szCs w:val="32"/>
          <w:highlight w:val="none"/>
        </w:rPr>
        <w:t>(</w:t>
      </w:r>
      <w:r>
        <w:rPr>
          <w:rFonts w:hint="eastAsia" w:ascii="仿宋_GB2312" w:hAnsi="仿宋_GB2312" w:eastAsia="仿宋_GB2312" w:cs="仿宋_GB2312"/>
          <w:color w:val="auto"/>
          <w:spacing w:val="22"/>
          <w:sz w:val="32"/>
          <w:szCs w:val="32"/>
          <w:highlight w:val="none"/>
        </w:rPr>
        <w:t>1)仪器、试剂</w:t>
      </w:r>
    </w:p>
    <w:p w14:paraId="24B1C09A">
      <w:pPr>
        <w:spacing w:line="360" w:lineRule="auto"/>
        <w:ind w:left="32" w:right="410" w:firstLine="644"/>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9"/>
          <w:sz w:val="32"/>
          <w:szCs w:val="32"/>
          <w:highlight w:val="none"/>
        </w:rPr>
        <w:t>本模块用到的仪器与试剂、耗材见本技术工作文件</w:t>
      </w:r>
      <w:r>
        <w:rPr>
          <w:rFonts w:hint="eastAsia" w:ascii="仿宋_GB2312" w:hAnsi="仿宋_GB2312" w:eastAsia="仿宋_GB2312" w:cs="仿宋_GB2312"/>
          <w:color w:val="auto"/>
          <w:spacing w:val="7"/>
          <w:sz w:val="32"/>
          <w:szCs w:val="32"/>
          <w:highlight w:val="none"/>
        </w:rPr>
        <w:t>中</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8"/>
          <w:sz w:val="32"/>
          <w:szCs w:val="32"/>
          <w:highlight w:val="none"/>
        </w:rPr>
        <w:t>《基础设施清单》和《试剂、溶液清单》</w:t>
      </w:r>
      <w:r>
        <w:rPr>
          <w:rFonts w:hint="eastAsia" w:ascii="仿宋_GB2312" w:hAnsi="仿宋_GB2312" w:eastAsia="仿宋_GB2312" w:cs="仿宋_GB2312"/>
          <w:color w:val="auto"/>
          <w:spacing w:val="5"/>
          <w:sz w:val="32"/>
          <w:szCs w:val="32"/>
          <w:highlight w:val="none"/>
        </w:rPr>
        <w:t>。</w:t>
      </w:r>
    </w:p>
    <w:p w14:paraId="734A6ACF">
      <w:pPr>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(2)实验准备</w:t>
      </w:r>
    </w:p>
    <w:p w14:paraId="684A361D">
      <w:pPr>
        <w:spacing w:line="360" w:lineRule="auto"/>
        <w:ind w:left="675"/>
        <w:rPr>
          <w:rFonts w:hint="eastAsia" w:ascii="仿宋_GB2312" w:hAnsi="仿宋_GB2312" w:eastAsia="仿宋_GB2312" w:cs="仿宋_GB2312"/>
          <w:color w:val="auto"/>
          <w:spacing w:val="8"/>
          <w:sz w:val="32"/>
          <w:szCs w:val="32"/>
          <w:highlight w:val="none"/>
        </w:rPr>
      </w:pPr>
      <w:r>
        <w:rPr>
          <w:rFonts w:hint="eastAsia" w:ascii="仿宋_GB2312" w:hAnsi="仿宋_GB2312" w:eastAsia="仿宋_GB2312" w:cs="仿宋_GB2312"/>
          <w:color w:val="auto"/>
          <w:spacing w:val="16"/>
          <w:sz w:val="32"/>
          <w:szCs w:val="32"/>
          <w:highlight w:val="none"/>
        </w:rPr>
        <w:t>计</w:t>
      </w:r>
      <w:r>
        <w:rPr>
          <w:rFonts w:hint="eastAsia" w:ascii="仿宋_GB2312" w:hAnsi="仿宋_GB2312" w:eastAsia="仿宋_GB2312" w:cs="仿宋_GB2312"/>
          <w:color w:val="auto"/>
          <w:spacing w:val="9"/>
          <w:sz w:val="32"/>
          <w:szCs w:val="32"/>
          <w:highlight w:val="none"/>
        </w:rPr>
        <w:t>算</w:t>
      </w:r>
      <w:r>
        <w:rPr>
          <w:rFonts w:hint="eastAsia" w:ascii="仿宋_GB2312" w:hAnsi="仿宋_GB2312" w:eastAsia="仿宋_GB2312" w:cs="仿宋_GB2312"/>
          <w:color w:val="auto"/>
          <w:spacing w:val="8"/>
          <w:sz w:val="32"/>
          <w:szCs w:val="32"/>
          <w:highlight w:val="none"/>
        </w:rPr>
        <w:t>、配制实验相关溶液；</w:t>
      </w:r>
    </w:p>
    <w:p w14:paraId="46C78C11">
      <w:pPr>
        <w:spacing w:line="360" w:lineRule="auto"/>
        <w:ind w:left="677"/>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9"/>
          <w:position w:val="23"/>
          <w:sz w:val="32"/>
          <w:szCs w:val="32"/>
          <w:highlight w:val="none"/>
        </w:rPr>
        <w:t>根</w:t>
      </w:r>
      <w:r>
        <w:rPr>
          <w:rFonts w:hint="eastAsia" w:ascii="仿宋_GB2312" w:hAnsi="仿宋_GB2312" w:eastAsia="仿宋_GB2312" w:cs="仿宋_GB2312"/>
          <w:color w:val="auto"/>
          <w:spacing w:val="8"/>
          <w:position w:val="23"/>
          <w:sz w:val="32"/>
          <w:szCs w:val="32"/>
          <w:highlight w:val="none"/>
        </w:rPr>
        <w:t>据赛题要求，计算所需反应原料量；</w:t>
      </w:r>
    </w:p>
    <w:p w14:paraId="1F636510">
      <w:pPr>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(3)有机物的合成</w:t>
      </w:r>
    </w:p>
    <w:p w14:paraId="0C2B8C0D">
      <w:pPr>
        <w:spacing w:line="360" w:lineRule="auto"/>
        <w:ind w:left="40" w:right="16" w:firstLine="636"/>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根据竞赛要求，搭建合成装置，按流程合成与提纯目标有机物，称量产品重量并测量折光率</w:t>
      </w:r>
      <w:r>
        <w:rPr>
          <w:rFonts w:hint="eastAsia" w:ascii="仿宋_GB2312" w:hAnsi="仿宋_GB2312" w:eastAsia="仿宋_GB2312" w:cs="仿宋_GB2312"/>
          <w:color w:val="auto"/>
          <w:spacing w:val="5"/>
          <w:sz w:val="32"/>
          <w:szCs w:val="32"/>
          <w:highlight w:val="none"/>
        </w:rPr>
        <w:t>。</w:t>
      </w:r>
    </w:p>
    <w:p w14:paraId="12C4763E">
      <w:pPr>
        <w:spacing w:line="360" w:lineRule="auto"/>
        <w:ind w:left="680"/>
        <w:outlineLvl w:val="2"/>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24"/>
          <w:sz w:val="32"/>
          <w:szCs w:val="32"/>
          <w:highlight w:val="none"/>
        </w:rPr>
        <w:t>(4)结果计算</w:t>
      </w:r>
    </w:p>
    <w:p w14:paraId="347A82CE">
      <w:pPr>
        <w:spacing w:line="360" w:lineRule="auto"/>
        <w:ind w:left="76" w:right="16" w:firstLine="6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16"/>
          <w:sz w:val="32"/>
          <w:szCs w:val="32"/>
          <w:highlight w:val="none"/>
        </w:rPr>
        <w:t>根</w:t>
      </w:r>
      <w:r>
        <w:rPr>
          <w:rFonts w:hint="eastAsia" w:ascii="仿宋_GB2312" w:hAnsi="仿宋_GB2312" w:eastAsia="仿宋_GB2312" w:cs="仿宋_GB2312"/>
          <w:color w:val="auto"/>
          <w:spacing w:val="8"/>
          <w:sz w:val="32"/>
          <w:szCs w:val="32"/>
          <w:highlight w:val="none"/>
        </w:rPr>
        <w:t>据合成产品重量，计算产率；计算产品平均折光率</w:t>
      </w:r>
      <w:r>
        <w:rPr>
          <w:rFonts w:hint="eastAsia" w:ascii="仿宋_GB2312" w:hAnsi="仿宋_GB2312" w:eastAsia="仿宋_GB2312" w:cs="仿宋_GB2312"/>
          <w:color w:val="auto"/>
          <w:spacing w:val="6"/>
          <w:sz w:val="32"/>
          <w:szCs w:val="32"/>
          <w:highlight w:val="none"/>
        </w:rPr>
        <w:t>。</w:t>
      </w:r>
    </w:p>
    <w:p w14:paraId="105EA66E">
      <w:pPr>
        <w:spacing w:line="360" w:lineRule="auto"/>
        <w:ind w:left="664"/>
        <w:outlineLvl w:val="1"/>
        <w:rPr>
          <w:rFonts w:hint="eastAsia" w:ascii="仿宋_GB2312" w:hAnsi="仿宋_GB2312" w:eastAsia="仿宋_GB2312" w:cs="仿宋_GB2312"/>
          <w:color w:val="auto"/>
          <w:sz w:val="32"/>
          <w:szCs w:val="32"/>
          <w:highlight w:val="none"/>
        </w:rPr>
      </w:pPr>
      <w:bookmarkStart w:id="94" w:name="_Toc22520"/>
      <w:bookmarkStart w:id="95" w:name="_Toc11056"/>
      <w:bookmarkStart w:id="96" w:name="_Toc18259"/>
      <w:r>
        <w:rPr>
          <w:rFonts w:hint="eastAsia" w:ascii="仿宋_GB2312" w:hAnsi="仿宋_GB2312" w:eastAsia="仿宋_GB2312" w:cs="仿宋_GB2312"/>
          <w:color w:val="auto"/>
          <w:spacing w:val="8"/>
          <w:position w:val="2"/>
          <w:sz w:val="32"/>
          <w:szCs w:val="32"/>
          <w:highlight w:val="none"/>
        </w:rPr>
        <w:t>4</w:t>
      </w:r>
      <w:r>
        <w:rPr>
          <w:rFonts w:hint="eastAsia" w:ascii="仿宋_GB2312" w:hAnsi="仿宋_GB2312" w:eastAsia="仿宋_GB2312" w:cs="仿宋_GB2312"/>
          <w:color w:val="auto"/>
          <w:spacing w:val="6"/>
          <w:position w:val="2"/>
          <w:sz w:val="32"/>
          <w:szCs w:val="32"/>
          <w:highlight w:val="none"/>
        </w:rPr>
        <w:t>.提交报告</w:t>
      </w:r>
      <w:bookmarkEnd w:id="94"/>
      <w:bookmarkEnd w:id="95"/>
      <w:bookmarkEnd w:id="96"/>
    </w:p>
    <w:p w14:paraId="49D8AA2E">
      <w:pPr>
        <w:spacing w:line="360" w:lineRule="auto"/>
        <w:ind w:left="35" w:right="16"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8"/>
          <w:sz w:val="32"/>
          <w:szCs w:val="32"/>
          <w:highlight w:val="none"/>
        </w:rPr>
        <w:t>(1)按照行业规范撰写实验报告，内容包括：</w:t>
      </w:r>
      <w:r>
        <w:rPr>
          <w:rFonts w:hint="eastAsia" w:ascii="仿宋_GB2312" w:hAnsi="仿宋_GB2312" w:eastAsia="仿宋_GB2312" w:cs="仿宋_GB2312"/>
          <w:color w:val="auto"/>
          <w:sz w:val="32"/>
          <w:szCs w:val="32"/>
          <w:highlight w:val="none"/>
        </w:rPr>
        <w:t>HSE</w:t>
      </w:r>
      <w:r>
        <w:rPr>
          <w:rFonts w:hint="eastAsia" w:ascii="仿宋_GB2312" w:hAnsi="仿宋_GB2312" w:eastAsia="仿宋_GB2312" w:cs="仿宋_GB2312"/>
          <w:color w:val="auto"/>
          <w:spacing w:val="8"/>
          <w:sz w:val="32"/>
          <w:szCs w:val="32"/>
          <w:highlight w:val="none"/>
        </w:rPr>
        <w:t xml:space="preserve"> 内</w:t>
      </w:r>
      <w:r>
        <w:rPr>
          <w:rFonts w:hint="eastAsia" w:ascii="仿宋_GB2312" w:hAnsi="仿宋_GB2312" w:eastAsia="仿宋_GB2312" w:cs="仿宋_GB2312"/>
          <w:color w:val="auto"/>
          <w:spacing w:val="5"/>
          <w:sz w:val="32"/>
          <w:szCs w:val="32"/>
          <w:highlight w:val="none"/>
        </w:rPr>
        <w:t>容</w:t>
      </w:r>
      <w:r>
        <w:rPr>
          <w:rFonts w:hint="eastAsia" w:ascii="仿宋_GB2312" w:hAnsi="仿宋_GB2312" w:eastAsia="仿宋_GB2312" w:cs="仿宋_GB2312"/>
          <w:color w:val="auto"/>
          <w:spacing w:val="16"/>
          <w:sz w:val="32"/>
          <w:szCs w:val="32"/>
          <w:highlight w:val="none"/>
        </w:rPr>
        <w:t>描</w:t>
      </w:r>
      <w:r>
        <w:rPr>
          <w:rFonts w:hint="eastAsia" w:ascii="仿宋_GB2312" w:hAnsi="仿宋_GB2312" w:eastAsia="仿宋_GB2312" w:cs="仿宋_GB2312"/>
          <w:color w:val="auto"/>
          <w:spacing w:val="14"/>
          <w:sz w:val="32"/>
          <w:szCs w:val="32"/>
          <w:highlight w:val="none"/>
        </w:rPr>
        <w:t>述</w:t>
      </w:r>
      <w:r>
        <w:rPr>
          <w:rFonts w:hint="eastAsia" w:ascii="仿宋_GB2312" w:hAnsi="仿宋_GB2312" w:eastAsia="仿宋_GB2312" w:cs="仿宋_GB2312"/>
          <w:color w:val="auto"/>
          <w:spacing w:val="8"/>
          <w:sz w:val="32"/>
          <w:szCs w:val="32"/>
          <w:highlight w:val="none"/>
        </w:rPr>
        <w:t>、试剂配制过程记录、合成与提纯过程记录、收率及折光率计算过程及结果表达、</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pacing w:val="8"/>
          <w:sz w:val="32"/>
          <w:szCs w:val="32"/>
          <w:highlight w:val="none"/>
        </w:rPr>
        <w:t>合成过程与合成结果的分析评价</w:t>
      </w:r>
      <w:r>
        <w:rPr>
          <w:rFonts w:hint="eastAsia" w:ascii="仿宋_GB2312" w:hAnsi="仿宋_GB2312" w:eastAsia="仿宋_GB2312" w:cs="仿宋_GB2312"/>
          <w:color w:val="auto"/>
          <w:spacing w:val="5"/>
          <w:sz w:val="32"/>
          <w:szCs w:val="32"/>
          <w:highlight w:val="none"/>
        </w:rPr>
        <w:t>。</w:t>
      </w:r>
    </w:p>
    <w:p w14:paraId="4B3E3707">
      <w:pPr>
        <w:spacing w:line="360" w:lineRule="auto"/>
        <w:ind w:left="680"/>
        <w:outlineLvl w:val="2"/>
        <w:rPr>
          <w:rFonts w:hint="eastAsia" w:ascii="仿宋" w:hAnsi="仿宋" w:eastAsia="仿宋" w:cs="仿宋"/>
          <w:color w:val="auto"/>
          <w:spacing w:val="8"/>
          <w:sz w:val="32"/>
          <w:szCs w:val="32"/>
          <w:highlight w:val="none"/>
        </w:rPr>
        <w:sectPr>
          <w:pgSz w:w="11906" w:h="16838"/>
          <w:pgMar w:top="2098" w:right="1531" w:bottom="1814" w:left="1531" w:header="851" w:footer="1587" w:gutter="0"/>
          <w:pgNumType w:fmt="numberInDash"/>
          <w:cols w:space="0" w:num="1"/>
          <w:docGrid w:type="linesAndChars" w:linePitch="319" w:charSpace="0"/>
        </w:sectPr>
      </w:pPr>
      <w:r>
        <w:rPr>
          <w:rFonts w:hint="eastAsia" w:ascii="仿宋_GB2312" w:hAnsi="仿宋_GB2312" w:eastAsia="仿宋_GB2312" w:cs="仿宋_GB2312"/>
          <w:color w:val="auto"/>
          <w:spacing w:val="12"/>
          <w:sz w:val="32"/>
          <w:szCs w:val="32"/>
          <w:highlight w:val="none"/>
        </w:rPr>
        <w:t>(</w:t>
      </w:r>
      <w:r>
        <w:rPr>
          <w:rFonts w:hint="eastAsia" w:ascii="仿宋_GB2312" w:hAnsi="仿宋_GB2312" w:eastAsia="仿宋_GB2312" w:cs="仿宋_GB2312"/>
          <w:color w:val="auto"/>
          <w:spacing w:val="8"/>
          <w:sz w:val="32"/>
          <w:szCs w:val="32"/>
          <w:highlight w:val="none"/>
        </w:rPr>
        <w:t>2)报告用 WPS 办公软件编辑并打印上交。</w:t>
      </w:r>
    </w:p>
    <w:p w14:paraId="60484340">
      <w:pPr>
        <w:pStyle w:val="4"/>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textAlignment w:val="auto"/>
        <w:rPr>
          <w:rFonts w:hint="eastAsia" w:ascii="黑体" w:hAnsi="黑体" w:eastAsia="黑体" w:cs="黑体"/>
          <w:b w:val="0"/>
          <w:bCs/>
          <w:color w:val="auto"/>
          <w:sz w:val="32"/>
          <w:szCs w:val="32"/>
          <w:highlight w:val="none"/>
        </w:rPr>
      </w:pPr>
      <w:bookmarkStart w:id="97" w:name="_Toc13941"/>
      <w:r>
        <w:rPr>
          <w:rFonts w:hint="eastAsia" w:ascii="黑体" w:hAnsi="黑体" w:eastAsia="黑体" w:cs="黑体"/>
          <w:b w:val="0"/>
          <w:bCs/>
          <w:color w:val="auto"/>
          <w:sz w:val="32"/>
          <w:szCs w:val="32"/>
          <w:highlight w:val="none"/>
        </w:rPr>
        <w:t>附件2 考核项目配分表</w:t>
      </w:r>
      <w:bookmarkEnd w:id="97"/>
    </w:p>
    <w:tbl>
      <w:tblPr>
        <w:tblStyle w:val="29"/>
        <w:tblW w:w="13613" w:type="dxa"/>
        <w:jc w:val="center"/>
        <w:tblLayout w:type="fixed"/>
        <w:tblCellMar>
          <w:top w:w="0" w:type="dxa"/>
          <w:left w:w="0" w:type="dxa"/>
          <w:bottom w:w="0" w:type="dxa"/>
          <w:right w:w="0" w:type="dxa"/>
        </w:tblCellMar>
      </w:tblPr>
      <w:tblGrid>
        <w:gridCol w:w="620"/>
        <w:gridCol w:w="1276"/>
        <w:gridCol w:w="2970"/>
        <w:gridCol w:w="4305"/>
        <w:gridCol w:w="1625"/>
        <w:gridCol w:w="891"/>
        <w:gridCol w:w="1350"/>
        <w:gridCol w:w="576"/>
      </w:tblGrid>
      <w:tr w14:paraId="7A37EF73">
        <w:tblPrEx>
          <w:tblCellMar>
            <w:top w:w="0" w:type="dxa"/>
            <w:left w:w="0" w:type="dxa"/>
            <w:bottom w:w="0" w:type="dxa"/>
            <w:right w:w="0" w:type="dxa"/>
          </w:tblCellMar>
        </w:tblPrEx>
        <w:trPr>
          <w:jc w:val="center"/>
        </w:trPr>
        <w:tc>
          <w:tcPr>
            <w:tcW w:w="620" w:type="dxa"/>
            <w:tcBorders>
              <w:top w:val="single" w:color="auto" w:sz="4" w:space="0"/>
              <w:left w:val="single" w:color="auto" w:sz="4" w:space="0"/>
              <w:bottom w:val="single" w:color="auto" w:sz="4" w:space="0"/>
              <w:right w:val="single" w:color="auto" w:sz="4" w:space="0"/>
            </w:tcBorders>
            <w:shd w:val="clear" w:color="auto" w:fill="auto"/>
          </w:tcPr>
          <w:p w14:paraId="2152AFD8">
            <w:pPr>
              <w:pStyle w:val="30"/>
              <w:adjustRightInd w:val="0"/>
              <w:snapToGrid w:val="0"/>
              <w:ind w:left="169"/>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w:t>
            </w:r>
          </w:p>
          <w:p w14:paraId="382A76B3">
            <w:pPr>
              <w:pStyle w:val="30"/>
              <w:adjustRightInd w:val="0"/>
              <w:snapToGrid w:val="0"/>
              <w:ind w:left="169" w:right="169"/>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目</w:t>
            </w: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59DF2766">
            <w:pPr>
              <w:pStyle w:val="30"/>
              <w:adjustRightInd w:val="0"/>
              <w:snapToGrid w:val="0"/>
              <w:ind w:left="157" w:right="136" w:hanging="17"/>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 (测量 评) ；</w:t>
            </w:r>
          </w:p>
          <w:p w14:paraId="0DE4743E">
            <w:pPr>
              <w:pStyle w:val="30"/>
              <w:adjustRightInd w:val="0"/>
              <w:snapToGrid w:val="0"/>
              <w:ind w:left="157" w:right="136" w:hanging="17"/>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 (评价 评分)</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596B80D2">
            <w:pPr>
              <w:pStyle w:val="30"/>
              <w:adjustRightInd w:val="0"/>
              <w:snapToGrid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1"/>
                <w:sz w:val="24"/>
                <w:highlight w:val="none"/>
              </w:rPr>
              <w:t>项目说明</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2D0E3512">
            <w:pPr>
              <w:pStyle w:val="30"/>
              <w:adjustRightInd w:val="0"/>
              <w:snapToGrid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考核点</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16603115">
            <w:pPr>
              <w:pStyle w:val="30"/>
              <w:adjustRightInd w:val="0"/>
              <w:snapToGrid w:val="0"/>
              <w:ind w:left="34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1"/>
                <w:sz w:val="24"/>
                <w:highlight w:val="none"/>
              </w:rPr>
              <w:t>考核方式</w:t>
            </w:r>
          </w:p>
        </w:tc>
        <w:tc>
          <w:tcPr>
            <w:tcW w:w="891" w:type="dxa"/>
            <w:tcBorders>
              <w:top w:val="single" w:color="auto" w:sz="4" w:space="0"/>
              <w:left w:val="single" w:color="auto" w:sz="4" w:space="0"/>
              <w:bottom w:val="single" w:color="auto" w:sz="4" w:space="0"/>
              <w:right w:val="single" w:color="auto" w:sz="4" w:space="0"/>
            </w:tcBorders>
            <w:shd w:val="clear" w:color="auto" w:fill="auto"/>
          </w:tcPr>
          <w:p w14:paraId="5A2FAE40">
            <w:pPr>
              <w:pStyle w:val="30"/>
              <w:adjustRightInd w:val="0"/>
              <w:snapToGrid w:val="0"/>
              <w:ind w:right="13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 时间</w:t>
            </w: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5049E7EE">
            <w:pPr>
              <w:pStyle w:val="30"/>
              <w:adjustRightInd w:val="0"/>
              <w:snapToGrid w:val="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配分</w:t>
            </w:r>
          </w:p>
          <w:p w14:paraId="629D9116">
            <w:pPr>
              <w:pStyle w:val="30"/>
              <w:adjustRightInd w:val="0"/>
              <w:snapToGrid w:val="0"/>
              <w:jc w:val="center"/>
              <w:rPr>
                <w:rFonts w:hint="eastAsia" w:ascii="仿宋_GB2312" w:hAnsi="仿宋_GB2312" w:eastAsia="仿宋_GB2312" w:cs="仿宋_GB2312"/>
                <w:color w:val="auto"/>
                <w:sz w:val="24"/>
                <w:highlight w:val="none"/>
              </w:rPr>
            </w:pP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35346213">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备注</w:t>
            </w:r>
          </w:p>
        </w:tc>
      </w:tr>
      <w:tr w14:paraId="081500F1">
        <w:tblPrEx>
          <w:tblCellMar>
            <w:top w:w="0" w:type="dxa"/>
            <w:left w:w="0" w:type="dxa"/>
            <w:bottom w:w="0" w:type="dxa"/>
            <w:right w:w="0" w:type="dxa"/>
          </w:tblCellMar>
        </w:tblPrEx>
        <w:trPr>
          <w:jc w:val="center"/>
        </w:trPr>
        <w:tc>
          <w:tcPr>
            <w:tcW w:w="6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F333B7">
            <w:pPr>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w:t>
            </w:r>
          </w:p>
        </w:tc>
        <w:tc>
          <w:tcPr>
            <w:tcW w:w="12417" w:type="dxa"/>
            <w:gridSpan w:val="6"/>
            <w:tcBorders>
              <w:top w:val="single" w:color="auto" w:sz="4" w:space="0"/>
              <w:left w:val="single" w:color="auto" w:sz="4" w:space="0"/>
              <w:bottom w:val="single" w:color="auto" w:sz="4" w:space="0"/>
              <w:right w:val="single" w:color="auto" w:sz="4" w:space="0"/>
            </w:tcBorders>
            <w:shd w:val="clear" w:color="auto" w:fill="auto"/>
          </w:tcPr>
          <w:p w14:paraId="5ACF2E39">
            <w:pPr>
              <w:pStyle w:val="30"/>
              <w:adjustRightInd w:val="0"/>
              <w:snapToGrid w:val="0"/>
              <w:spacing w:line="360" w:lineRule="auto"/>
              <w:ind w:left="16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化学分析法测定样品中的组分含量</w:t>
            </w:r>
            <w:r>
              <w:rPr>
                <w:rFonts w:hint="eastAsia" w:ascii="仿宋_GB2312" w:hAnsi="仿宋_GB2312" w:eastAsia="仿宋_GB2312" w:cs="仿宋_GB2312"/>
                <w:bCs/>
                <w:color w:val="auto"/>
                <w:sz w:val="24"/>
                <w:highlight w:val="none"/>
              </w:rPr>
              <w:t>（</w:t>
            </w:r>
            <w:r>
              <w:rPr>
                <w:rFonts w:hint="eastAsia" w:ascii="仿宋_GB2312" w:hAnsi="仿宋_GB2312" w:eastAsia="仿宋_GB2312" w:cs="仿宋_GB2312"/>
                <w:bCs/>
                <w:color w:val="auto"/>
                <w:sz w:val="24"/>
                <w:highlight w:val="none"/>
                <w:lang w:val="en-US" w:eastAsia="zh-CN"/>
              </w:rPr>
              <w:t>30</w:t>
            </w:r>
            <w:r>
              <w:rPr>
                <w:rFonts w:hint="eastAsia" w:ascii="仿宋_GB2312" w:hAnsi="仿宋_GB2312" w:eastAsia="仿宋_GB2312" w:cs="仿宋_GB2312"/>
                <w:bCs/>
                <w:color w:val="auto"/>
                <w:sz w:val="24"/>
                <w:highlight w:val="none"/>
              </w:rPr>
              <w:t>分）</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4820AEF7">
            <w:pPr>
              <w:pStyle w:val="30"/>
              <w:adjustRightInd w:val="0"/>
              <w:snapToGrid w:val="0"/>
              <w:spacing w:line="360" w:lineRule="auto"/>
              <w:rPr>
                <w:rFonts w:hint="eastAsia" w:ascii="仿宋_GB2312" w:hAnsi="仿宋_GB2312" w:eastAsia="仿宋_GB2312" w:cs="仿宋_GB2312"/>
                <w:color w:val="auto"/>
                <w:sz w:val="24"/>
                <w:highlight w:val="none"/>
              </w:rPr>
            </w:pPr>
          </w:p>
        </w:tc>
      </w:tr>
      <w:tr w14:paraId="3CB82BFF">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DD2893">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0FBF3742">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6CAE8B1F">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HSE</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14A71D96">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描述涉及的HSE内容并做好自我保护</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62464F6C">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文字结果评价</w:t>
            </w:r>
          </w:p>
        </w:tc>
        <w:tc>
          <w:tcPr>
            <w:tcW w:w="891" w:type="dxa"/>
            <w:vMerge w:val="restart"/>
            <w:tcBorders>
              <w:top w:val="single" w:color="auto" w:sz="4" w:space="0"/>
              <w:left w:val="single" w:color="auto" w:sz="4" w:space="0"/>
              <w:bottom w:val="single" w:color="auto" w:sz="4" w:space="0"/>
              <w:right w:val="single" w:color="auto" w:sz="4" w:space="0"/>
            </w:tcBorders>
            <w:shd w:val="clear" w:color="auto" w:fill="auto"/>
          </w:tcPr>
          <w:p w14:paraId="0CE3C2ED">
            <w:pPr>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180min</w:t>
            </w: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3035C999">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726B9BEA">
            <w:pPr>
              <w:adjustRightInd w:val="0"/>
              <w:snapToGrid w:val="0"/>
              <w:spacing w:line="360" w:lineRule="auto"/>
              <w:rPr>
                <w:rFonts w:hint="eastAsia" w:ascii="仿宋_GB2312" w:hAnsi="仿宋_GB2312" w:eastAsia="仿宋_GB2312" w:cs="仿宋_GB2312"/>
                <w:color w:val="auto"/>
                <w:sz w:val="24"/>
                <w:highlight w:val="none"/>
              </w:rPr>
            </w:pPr>
          </w:p>
        </w:tc>
      </w:tr>
      <w:tr w14:paraId="58E809B9">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FB8BFB">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5B3BED0B">
            <w:pPr>
              <w:pStyle w:val="30"/>
              <w:adjustRightInd w:val="0"/>
              <w:snapToGrid w:val="0"/>
              <w:spacing w:line="360" w:lineRule="auto"/>
              <w:jc w:val="center"/>
              <w:rPr>
                <w:rFonts w:hint="eastAsia" w:ascii="仿宋_GB2312" w:hAnsi="仿宋_GB2312" w:eastAsia="仿宋_GB2312" w:cs="仿宋_GB2312"/>
                <w:color w:val="auto"/>
                <w:spacing w:val="-1"/>
                <w:sz w:val="24"/>
                <w:highlight w:val="none"/>
              </w:rPr>
            </w:pPr>
            <w:r>
              <w:rPr>
                <w:rFonts w:hint="eastAsia" w:ascii="仿宋_GB2312" w:hAnsi="仿宋_GB2312" w:eastAsia="仿宋_GB2312" w:cs="仿宋_GB2312"/>
                <w:color w:val="auto"/>
                <w:spacing w:val="-1"/>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19D67326">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实验准备</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719E5321">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准确完成指定溶液的配制</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7C99FDA6">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7CB98185">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1769CCFE">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090FC6ED">
            <w:pPr>
              <w:adjustRightInd w:val="0"/>
              <w:snapToGrid w:val="0"/>
              <w:spacing w:line="360" w:lineRule="auto"/>
              <w:rPr>
                <w:rFonts w:hint="eastAsia" w:ascii="仿宋_GB2312" w:hAnsi="仿宋_GB2312" w:eastAsia="仿宋_GB2312" w:cs="仿宋_GB2312"/>
                <w:color w:val="auto"/>
                <w:sz w:val="24"/>
                <w:highlight w:val="none"/>
              </w:rPr>
            </w:pPr>
          </w:p>
        </w:tc>
      </w:tr>
      <w:tr w14:paraId="0FE69C1B">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B0A1E9">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08B3A856">
            <w:pPr>
              <w:pStyle w:val="30"/>
              <w:adjustRightInd w:val="0"/>
              <w:snapToGrid w:val="0"/>
              <w:spacing w:line="360" w:lineRule="auto"/>
              <w:jc w:val="center"/>
              <w:rPr>
                <w:rFonts w:hint="eastAsia" w:ascii="仿宋_GB2312" w:hAnsi="仿宋_GB2312" w:eastAsia="仿宋_GB2312" w:cs="仿宋_GB2312"/>
                <w:color w:val="auto"/>
                <w:spacing w:val="-1"/>
                <w:sz w:val="24"/>
                <w:highlight w:val="none"/>
              </w:rPr>
            </w:pPr>
            <w:r>
              <w:rPr>
                <w:rFonts w:hint="eastAsia" w:ascii="仿宋_GB2312" w:hAnsi="仿宋_GB2312" w:eastAsia="仿宋_GB2312" w:cs="仿宋_GB2312"/>
                <w:color w:val="auto"/>
                <w:spacing w:val="-1"/>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2FA9161E">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实验操作过程</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64840DC1">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操作过程规范、有序</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3B72DC4C">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4EFEC0C2">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2C850776">
            <w:pPr>
              <w:pStyle w:val="30"/>
              <w:adjustRightInd w:val="0"/>
              <w:snapToGrid w:val="0"/>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0AFBE180">
            <w:pPr>
              <w:adjustRightInd w:val="0"/>
              <w:snapToGrid w:val="0"/>
              <w:spacing w:line="360" w:lineRule="auto"/>
              <w:rPr>
                <w:rFonts w:hint="eastAsia" w:ascii="仿宋_GB2312" w:hAnsi="仿宋_GB2312" w:eastAsia="仿宋_GB2312" w:cs="仿宋_GB2312"/>
                <w:color w:val="auto"/>
                <w:sz w:val="24"/>
                <w:highlight w:val="none"/>
              </w:rPr>
            </w:pPr>
          </w:p>
        </w:tc>
      </w:tr>
      <w:tr w14:paraId="69B90BF7">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41468B">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291A503F">
            <w:pPr>
              <w:pStyle w:val="30"/>
              <w:adjustRightInd w:val="0"/>
              <w:snapToGrid w:val="0"/>
              <w:spacing w:line="360" w:lineRule="auto"/>
              <w:jc w:val="center"/>
              <w:rPr>
                <w:rFonts w:hint="eastAsia" w:ascii="仿宋_GB2312" w:hAnsi="仿宋_GB2312" w:eastAsia="仿宋_GB2312" w:cs="仿宋_GB2312"/>
                <w:color w:val="auto"/>
                <w:spacing w:val="-1"/>
                <w:sz w:val="24"/>
                <w:highlight w:val="none"/>
              </w:rPr>
            </w:pPr>
            <w:r>
              <w:rPr>
                <w:rFonts w:hint="eastAsia" w:ascii="仿宋_GB2312" w:hAnsi="仿宋_GB2312" w:eastAsia="仿宋_GB2312" w:cs="仿宋_GB2312"/>
                <w:color w:val="auto"/>
                <w:spacing w:val="-1"/>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4D61E69E">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样品测定</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3926AF6D">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样品测定的精密度好、准确度高</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301132C2">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结果评价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2B889692">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3A28790D">
            <w:pPr>
              <w:pStyle w:val="30"/>
              <w:adjustRightInd w:val="0"/>
              <w:snapToGrid w:val="0"/>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7FF10237">
            <w:pPr>
              <w:adjustRightInd w:val="0"/>
              <w:snapToGrid w:val="0"/>
              <w:spacing w:line="360" w:lineRule="auto"/>
              <w:rPr>
                <w:rFonts w:hint="eastAsia" w:ascii="仿宋_GB2312" w:hAnsi="仿宋_GB2312" w:eastAsia="仿宋_GB2312" w:cs="仿宋_GB2312"/>
                <w:color w:val="auto"/>
                <w:sz w:val="24"/>
                <w:highlight w:val="none"/>
              </w:rPr>
            </w:pPr>
          </w:p>
        </w:tc>
      </w:tr>
      <w:tr w14:paraId="352EC570">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3B5A4A">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39BCD3EC">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1"/>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6EC05967">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数据处理及结论</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17F71637">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计算过程规范及结论正确</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09A9E438">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结果评价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5187D0EA">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22AE3BF0">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26DE7CE3">
            <w:pPr>
              <w:adjustRightInd w:val="0"/>
              <w:snapToGrid w:val="0"/>
              <w:spacing w:line="360" w:lineRule="auto"/>
              <w:rPr>
                <w:rFonts w:hint="eastAsia" w:ascii="仿宋_GB2312" w:hAnsi="仿宋_GB2312" w:eastAsia="仿宋_GB2312" w:cs="仿宋_GB2312"/>
                <w:color w:val="auto"/>
                <w:sz w:val="24"/>
                <w:highlight w:val="none"/>
              </w:rPr>
            </w:pPr>
          </w:p>
        </w:tc>
      </w:tr>
      <w:tr w14:paraId="7D70DD55">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1D4263">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4BCC4F07">
            <w:pPr>
              <w:pStyle w:val="30"/>
              <w:adjustRightInd w:val="0"/>
              <w:snapToGrid w:val="0"/>
              <w:spacing w:line="360" w:lineRule="auto"/>
              <w:ind w:right="1"/>
              <w:jc w:val="center"/>
              <w:rPr>
                <w:rFonts w:hint="eastAsia" w:ascii="仿宋_GB2312" w:hAnsi="仿宋_GB2312" w:eastAsia="仿宋_GB2312" w:cs="仿宋_GB2312"/>
                <w:color w:val="auto"/>
                <w:spacing w:val="-1"/>
                <w:sz w:val="24"/>
                <w:highlight w:val="none"/>
              </w:rPr>
            </w:pPr>
            <w:r>
              <w:rPr>
                <w:rFonts w:hint="eastAsia" w:ascii="仿宋_GB2312" w:hAnsi="仿宋_GB2312" w:eastAsia="仿宋_GB2312" w:cs="仿宋_GB2312"/>
                <w:color w:val="auto"/>
                <w:spacing w:val="-1"/>
                <w:sz w:val="24"/>
                <w:highlight w:val="none"/>
              </w:rPr>
              <w:t>J</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21693FC4">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实验室组织与管理</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68FE4C71">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符合行业规范</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4D3B8C8F">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2718EFD5">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406B433D">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3</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36A5C4C0">
            <w:pPr>
              <w:adjustRightInd w:val="0"/>
              <w:snapToGrid w:val="0"/>
              <w:spacing w:line="360" w:lineRule="auto"/>
              <w:rPr>
                <w:rFonts w:hint="eastAsia" w:ascii="仿宋_GB2312" w:hAnsi="仿宋_GB2312" w:eastAsia="仿宋_GB2312" w:cs="仿宋_GB2312"/>
                <w:color w:val="auto"/>
                <w:sz w:val="24"/>
                <w:highlight w:val="none"/>
              </w:rPr>
            </w:pPr>
          </w:p>
        </w:tc>
      </w:tr>
      <w:tr w14:paraId="175F33A5">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6D2FFA">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42417257">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44B4C20B">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报告</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3A0A5672">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内容完整</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68051C78">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文字结果评价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5606F027">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3559DFE9">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1D929C63">
            <w:pPr>
              <w:adjustRightInd w:val="0"/>
              <w:snapToGrid w:val="0"/>
              <w:spacing w:line="360" w:lineRule="auto"/>
              <w:rPr>
                <w:rFonts w:hint="eastAsia" w:ascii="仿宋_GB2312" w:hAnsi="仿宋_GB2312" w:eastAsia="仿宋_GB2312" w:cs="仿宋_GB2312"/>
                <w:color w:val="auto"/>
                <w:sz w:val="24"/>
                <w:highlight w:val="none"/>
              </w:rPr>
            </w:pPr>
          </w:p>
        </w:tc>
      </w:tr>
      <w:tr w14:paraId="05096F6C">
        <w:tblPrEx>
          <w:tblCellMar>
            <w:top w:w="0" w:type="dxa"/>
            <w:left w:w="0" w:type="dxa"/>
            <w:bottom w:w="0" w:type="dxa"/>
            <w:right w:w="0" w:type="dxa"/>
          </w:tblCellMar>
        </w:tblPrEx>
        <w:trPr>
          <w:jc w:val="center"/>
        </w:trPr>
        <w:tc>
          <w:tcPr>
            <w:tcW w:w="6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CDFB33">
            <w:pPr>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w:t>
            </w:r>
          </w:p>
        </w:tc>
        <w:tc>
          <w:tcPr>
            <w:tcW w:w="12417" w:type="dxa"/>
            <w:gridSpan w:val="6"/>
            <w:tcBorders>
              <w:top w:val="single" w:color="auto" w:sz="4" w:space="0"/>
              <w:left w:val="single" w:color="auto" w:sz="4" w:space="0"/>
              <w:bottom w:val="single" w:color="auto" w:sz="4" w:space="0"/>
              <w:right w:val="single" w:color="auto" w:sz="4" w:space="0"/>
            </w:tcBorders>
            <w:shd w:val="clear" w:color="auto" w:fill="auto"/>
          </w:tcPr>
          <w:p w14:paraId="33DD178F">
            <w:pPr>
              <w:pStyle w:val="30"/>
              <w:adjustRightInd w:val="0"/>
              <w:snapToGrid w:val="0"/>
              <w:spacing w:line="360" w:lineRule="auto"/>
              <w:ind w:left="35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分光光度法测定样品中的组分含量（30分）</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43FAE542">
            <w:pPr>
              <w:pStyle w:val="30"/>
              <w:adjustRightInd w:val="0"/>
              <w:snapToGrid w:val="0"/>
              <w:spacing w:line="360" w:lineRule="auto"/>
              <w:rPr>
                <w:rFonts w:hint="eastAsia" w:ascii="仿宋_GB2312" w:hAnsi="仿宋_GB2312" w:eastAsia="仿宋_GB2312" w:cs="仿宋_GB2312"/>
                <w:color w:val="auto"/>
                <w:sz w:val="24"/>
                <w:highlight w:val="none"/>
              </w:rPr>
            </w:pPr>
          </w:p>
        </w:tc>
      </w:tr>
      <w:tr w14:paraId="6A8CEE6D">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B9EF0C">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3B0E8EEF">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5D212F41">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HSE</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7B203B2C">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描述涉及的HSE内容并做好自我保护</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40DB7BF6">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文字结果评价</w:t>
            </w:r>
          </w:p>
        </w:tc>
        <w:tc>
          <w:tcPr>
            <w:tcW w:w="891" w:type="dxa"/>
            <w:vMerge w:val="restart"/>
            <w:tcBorders>
              <w:top w:val="single" w:color="auto" w:sz="4" w:space="0"/>
              <w:left w:val="single" w:color="auto" w:sz="4" w:space="0"/>
              <w:bottom w:val="single" w:color="auto" w:sz="4" w:space="0"/>
              <w:right w:val="single" w:color="auto" w:sz="4" w:space="0"/>
            </w:tcBorders>
            <w:shd w:val="clear" w:color="auto" w:fill="auto"/>
          </w:tcPr>
          <w:p w14:paraId="1C802374">
            <w:pPr>
              <w:adjustRightInd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0min</w:t>
            </w: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055416F3">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41FF3845">
            <w:pPr>
              <w:adjustRightInd w:val="0"/>
              <w:snapToGrid w:val="0"/>
              <w:spacing w:line="360" w:lineRule="auto"/>
              <w:rPr>
                <w:rFonts w:hint="eastAsia" w:ascii="仿宋_GB2312" w:hAnsi="仿宋_GB2312" w:eastAsia="仿宋_GB2312" w:cs="仿宋_GB2312"/>
                <w:color w:val="auto"/>
                <w:sz w:val="24"/>
                <w:highlight w:val="none"/>
              </w:rPr>
            </w:pPr>
          </w:p>
        </w:tc>
      </w:tr>
      <w:tr w14:paraId="51F0F557">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118E47">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50D04704">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2405570B">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实验准备</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0DF4A201">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正确检查与调整仪器</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797A4215">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31BDD61C">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1FF6D899">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4A48635B">
            <w:pPr>
              <w:adjustRightInd w:val="0"/>
              <w:snapToGrid w:val="0"/>
              <w:spacing w:line="360" w:lineRule="auto"/>
              <w:rPr>
                <w:rFonts w:hint="eastAsia" w:ascii="仿宋_GB2312" w:hAnsi="仿宋_GB2312" w:eastAsia="仿宋_GB2312" w:cs="仿宋_GB2312"/>
                <w:color w:val="auto"/>
                <w:sz w:val="24"/>
                <w:highlight w:val="none"/>
              </w:rPr>
            </w:pPr>
          </w:p>
        </w:tc>
      </w:tr>
      <w:tr w14:paraId="14D031A5">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4219BC">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1DAA907C">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404B2E66">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最大吸收波长的确定</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0E52BFA7">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波长确定结果正确</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77C556FA">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4077A21B">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66DD7503">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08B291D5">
            <w:pPr>
              <w:adjustRightInd w:val="0"/>
              <w:snapToGrid w:val="0"/>
              <w:spacing w:line="360" w:lineRule="auto"/>
              <w:rPr>
                <w:rFonts w:hint="eastAsia" w:ascii="仿宋_GB2312" w:hAnsi="仿宋_GB2312" w:eastAsia="仿宋_GB2312" w:cs="仿宋_GB2312"/>
                <w:color w:val="auto"/>
                <w:sz w:val="24"/>
                <w:highlight w:val="none"/>
              </w:rPr>
            </w:pPr>
          </w:p>
        </w:tc>
      </w:tr>
      <w:tr w14:paraId="333DD568">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8EAFDB">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318BFA90">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0D722529">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配制标准系列溶液</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7E3F92BA">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配制方法正确，操作过程规范</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1896F037">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27B1E43C">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78AED96F">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4</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466468D8">
            <w:pPr>
              <w:adjustRightInd w:val="0"/>
              <w:snapToGrid w:val="0"/>
              <w:spacing w:line="360" w:lineRule="auto"/>
              <w:rPr>
                <w:rFonts w:hint="eastAsia" w:ascii="仿宋_GB2312" w:hAnsi="仿宋_GB2312" w:eastAsia="仿宋_GB2312" w:cs="仿宋_GB2312"/>
                <w:color w:val="auto"/>
                <w:sz w:val="24"/>
                <w:highlight w:val="none"/>
              </w:rPr>
            </w:pPr>
          </w:p>
        </w:tc>
      </w:tr>
      <w:tr w14:paraId="0F7AEE4D">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A025B7">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2648CA9F">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773D5D05">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样品测定过程</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53275410">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相关系数良好、完成实验流程</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1A69DE83">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结果评价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471398FA">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1CB00869">
            <w:pPr>
              <w:pStyle w:val="30"/>
              <w:adjustRightInd w:val="0"/>
              <w:snapToGrid w:val="0"/>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5E8F55A9">
            <w:pPr>
              <w:adjustRightInd w:val="0"/>
              <w:snapToGrid w:val="0"/>
              <w:spacing w:line="360" w:lineRule="auto"/>
              <w:rPr>
                <w:rFonts w:hint="eastAsia" w:ascii="仿宋_GB2312" w:hAnsi="仿宋_GB2312" w:eastAsia="仿宋_GB2312" w:cs="仿宋_GB2312"/>
                <w:color w:val="auto"/>
                <w:sz w:val="24"/>
                <w:highlight w:val="none"/>
              </w:rPr>
            </w:pPr>
          </w:p>
        </w:tc>
      </w:tr>
      <w:tr w14:paraId="477B38E9">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E64F87">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6FF53C8C">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5555A0DB">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样品测定</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3AFE336E">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结果的准确度高</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28CEBC30">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结果评价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103872A2">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640E6FD6">
            <w:pPr>
              <w:pStyle w:val="30"/>
              <w:adjustRightInd w:val="0"/>
              <w:snapToGrid w:val="0"/>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10</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08005261">
            <w:pPr>
              <w:adjustRightInd w:val="0"/>
              <w:snapToGrid w:val="0"/>
              <w:spacing w:line="360" w:lineRule="auto"/>
              <w:rPr>
                <w:rFonts w:hint="eastAsia" w:ascii="仿宋_GB2312" w:hAnsi="仿宋_GB2312" w:eastAsia="仿宋_GB2312" w:cs="仿宋_GB2312"/>
                <w:color w:val="auto"/>
                <w:sz w:val="24"/>
                <w:highlight w:val="none"/>
              </w:rPr>
            </w:pPr>
          </w:p>
        </w:tc>
      </w:tr>
      <w:tr w14:paraId="52DEA0F5">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928EF1">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49A702FA">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362FD8D5">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数据处理</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695CE00D">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数据记录规范</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3F5B59E3">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结果评价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166A3760">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04256D3F">
            <w:pPr>
              <w:pStyle w:val="30"/>
              <w:adjustRightInd w:val="0"/>
              <w:snapToGrid w:val="0"/>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2F637FD5">
            <w:pPr>
              <w:adjustRightInd w:val="0"/>
              <w:snapToGrid w:val="0"/>
              <w:spacing w:line="360" w:lineRule="auto"/>
              <w:rPr>
                <w:rFonts w:hint="eastAsia" w:ascii="仿宋_GB2312" w:hAnsi="仿宋_GB2312" w:eastAsia="仿宋_GB2312" w:cs="仿宋_GB2312"/>
                <w:color w:val="auto"/>
                <w:sz w:val="24"/>
                <w:highlight w:val="none"/>
              </w:rPr>
            </w:pPr>
          </w:p>
        </w:tc>
      </w:tr>
      <w:tr w14:paraId="345F5921">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0C97B8">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51CE6A5E">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7CAF6D08">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实验室组织与管理</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58230304">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符合行业规范</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63702C9F">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top w:val="single" w:color="auto" w:sz="4" w:space="0"/>
              <w:left w:val="single" w:color="auto" w:sz="4" w:space="0"/>
              <w:bottom w:val="single" w:color="auto" w:sz="4" w:space="0"/>
              <w:right w:val="single" w:color="auto" w:sz="4" w:space="0"/>
            </w:tcBorders>
            <w:shd w:val="clear" w:color="auto" w:fill="auto"/>
          </w:tcPr>
          <w:p w14:paraId="2F94DD4D">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6062C64B">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3A9F75E9">
            <w:pPr>
              <w:adjustRightInd w:val="0"/>
              <w:snapToGrid w:val="0"/>
              <w:spacing w:line="360" w:lineRule="auto"/>
              <w:rPr>
                <w:rFonts w:hint="eastAsia" w:ascii="仿宋_GB2312" w:hAnsi="仿宋_GB2312" w:eastAsia="仿宋_GB2312" w:cs="仿宋_GB2312"/>
                <w:color w:val="auto"/>
                <w:sz w:val="24"/>
                <w:highlight w:val="none"/>
              </w:rPr>
            </w:pPr>
          </w:p>
        </w:tc>
      </w:tr>
      <w:tr w14:paraId="229454B4">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2F5CA6">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6D589A29">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21B48E57">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报告</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08884918">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内容完整</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0014D38B">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文字结果评价</w:t>
            </w:r>
          </w:p>
        </w:tc>
        <w:tc>
          <w:tcPr>
            <w:tcW w:w="891" w:type="dxa"/>
            <w:tcBorders>
              <w:top w:val="single" w:color="auto" w:sz="4" w:space="0"/>
              <w:left w:val="single" w:color="auto" w:sz="4" w:space="0"/>
              <w:bottom w:val="single" w:color="auto" w:sz="4" w:space="0"/>
              <w:right w:val="single" w:color="auto" w:sz="4" w:space="0"/>
            </w:tcBorders>
            <w:shd w:val="clear" w:color="auto" w:fill="auto"/>
          </w:tcPr>
          <w:p w14:paraId="36174B4B">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037C5649">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6FC6ABAB">
            <w:pPr>
              <w:adjustRightInd w:val="0"/>
              <w:snapToGrid w:val="0"/>
              <w:spacing w:line="360" w:lineRule="auto"/>
              <w:rPr>
                <w:rFonts w:hint="eastAsia" w:ascii="仿宋_GB2312" w:hAnsi="仿宋_GB2312" w:eastAsia="仿宋_GB2312" w:cs="仿宋_GB2312"/>
                <w:color w:val="auto"/>
                <w:sz w:val="24"/>
                <w:highlight w:val="none"/>
              </w:rPr>
            </w:pPr>
          </w:p>
        </w:tc>
      </w:tr>
      <w:tr w14:paraId="4C057E62">
        <w:tblPrEx>
          <w:tblCellMar>
            <w:top w:w="0" w:type="dxa"/>
            <w:left w:w="0" w:type="dxa"/>
            <w:bottom w:w="0" w:type="dxa"/>
            <w:right w:w="0" w:type="dxa"/>
          </w:tblCellMar>
        </w:tblPrEx>
        <w:trPr>
          <w:jc w:val="center"/>
        </w:trPr>
        <w:tc>
          <w:tcPr>
            <w:tcW w:w="6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6ED4F0">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12417" w:type="dxa"/>
            <w:gridSpan w:val="6"/>
            <w:tcBorders>
              <w:top w:val="single" w:color="auto" w:sz="4" w:space="0"/>
              <w:left w:val="single" w:color="auto" w:sz="4" w:space="0"/>
              <w:bottom w:val="single" w:color="auto" w:sz="4" w:space="0"/>
              <w:right w:val="single" w:color="auto" w:sz="4" w:space="0"/>
            </w:tcBorders>
            <w:shd w:val="clear" w:color="auto" w:fill="auto"/>
          </w:tcPr>
          <w:p w14:paraId="25349C6B">
            <w:pPr>
              <w:pStyle w:val="30"/>
              <w:adjustRightInd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电位滴定法测定样品中组分含量</w:t>
            </w:r>
            <w:r>
              <w:rPr>
                <w:rFonts w:hint="eastAsia" w:ascii="仿宋_GB2312" w:hAnsi="仿宋_GB2312" w:eastAsia="仿宋_GB2312" w:cs="仿宋_GB2312"/>
                <w:bCs/>
                <w:color w:val="auto"/>
                <w:w w:val="95"/>
                <w:sz w:val="24"/>
                <w:highlight w:val="none"/>
              </w:rPr>
              <w:t>（2</w:t>
            </w:r>
            <w:r>
              <w:rPr>
                <w:rFonts w:hint="eastAsia" w:ascii="仿宋_GB2312" w:hAnsi="仿宋_GB2312" w:eastAsia="仿宋_GB2312" w:cs="仿宋_GB2312"/>
                <w:bCs/>
                <w:color w:val="auto"/>
                <w:w w:val="95"/>
                <w:sz w:val="24"/>
                <w:highlight w:val="none"/>
                <w:lang w:val="en-US" w:eastAsia="zh-CN"/>
              </w:rPr>
              <w:t>0</w:t>
            </w:r>
            <w:r>
              <w:rPr>
                <w:rFonts w:hint="eastAsia" w:ascii="仿宋_GB2312" w:hAnsi="仿宋_GB2312" w:eastAsia="仿宋_GB2312" w:cs="仿宋_GB2312"/>
                <w:bCs/>
                <w:color w:val="auto"/>
                <w:w w:val="95"/>
                <w:sz w:val="24"/>
                <w:highlight w:val="none"/>
              </w:rPr>
              <w:t>分）</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30D9C647">
            <w:pPr>
              <w:pStyle w:val="30"/>
              <w:adjustRightInd w:val="0"/>
              <w:snapToGrid w:val="0"/>
              <w:spacing w:line="360" w:lineRule="auto"/>
              <w:rPr>
                <w:rFonts w:hint="eastAsia" w:ascii="仿宋_GB2312" w:hAnsi="仿宋_GB2312" w:eastAsia="仿宋_GB2312" w:cs="仿宋_GB2312"/>
                <w:color w:val="auto"/>
                <w:sz w:val="24"/>
                <w:highlight w:val="none"/>
              </w:rPr>
            </w:pPr>
          </w:p>
        </w:tc>
      </w:tr>
      <w:tr w14:paraId="0C88882D">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C64374">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19054C60">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45651500">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HSE</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52DA4509">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描述涉及的HSE内容并做好自我保护</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0AADF68E">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restart"/>
            <w:tcBorders>
              <w:top w:val="single" w:color="auto" w:sz="4" w:space="0"/>
              <w:left w:val="single" w:color="auto" w:sz="4" w:space="0"/>
              <w:right w:val="single" w:color="auto" w:sz="4" w:space="0"/>
            </w:tcBorders>
            <w:shd w:val="clear" w:color="auto" w:fill="auto"/>
          </w:tcPr>
          <w:p w14:paraId="095A3D69">
            <w:pPr>
              <w:pStyle w:val="30"/>
              <w:adjustRightInd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0min</w:t>
            </w: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7187B809">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1</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0AE70D8E">
            <w:pPr>
              <w:adjustRightInd w:val="0"/>
              <w:snapToGrid w:val="0"/>
              <w:spacing w:line="360" w:lineRule="auto"/>
              <w:rPr>
                <w:rFonts w:hint="eastAsia" w:ascii="仿宋_GB2312" w:hAnsi="仿宋_GB2312" w:eastAsia="仿宋_GB2312" w:cs="仿宋_GB2312"/>
                <w:color w:val="auto"/>
                <w:sz w:val="24"/>
                <w:highlight w:val="none"/>
              </w:rPr>
            </w:pPr>
          </w:p>
        </w:tc>
      </w:tr>
      <w:tr w14:paraId="57E14E1A">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899D16">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175E3C43">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7EF5B9C5">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电极的准备</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50D27C1E">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woUserID w:val="7"/>
              </w:rPr>
              <w:t>酸度计及电极预处理</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7BDC7B83">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66DD0B08">
            <w:pPr>
              <w:pStyle w:val="30"/>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1747D1CC">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1</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3DB4D43D">
            <w:pPr>
              <w:adjustRightInd w:val="0"/>
              <w:snapToGrid w:val="0"/>
              <w:spacing w:line="360" w:lineRule="auto"/>
              <w:rPr>
                <w:rFonts w:hint="eastAsia" w:ascii="仿宋_GB2312" w:hAnsi="仿宋_GB2312" w:eastAsia="仿宋_GB2312" w:cs="仿宋_GB2312"/>
                <w:color w:val="auto"/>
                <w:sz w:val="24"/>
                <w:highlight w:val="none"/>
              </w:rPr>
            </w:pPr>
          </w:p>
        </w:tc>
      </w:tr>
      <w:tr w14:paraId="6DBFBCEE">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2E1437">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2C0549E5">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60D447FF">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实验准备</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7E780E1C">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实验设备及溶液的准备</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53299F80">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27CB1946">
            <w:pPr>
              <w:pStyle w:val="30"/>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5EEB4AFD">
            <w:pPr>
              <w:pStyle w:val="30"/>
              <w:adjustRightInd w:val="0"/>
              <w:snapToGrid w:val="0"/>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67BC70D2">
            <w:pPr>
              <w:adjustRightInd w:val="0"/>
              <w:snapToGrid w:val="0"/>
              <w:spacing w:line="360" w:lineRule="auto"/>
              <w:rPr>
                <w:rFonts w:hint="eastAsia" w:ascii="仿宋_GB2312" w:hAnsi="仿宋_GB2312" w:eastAsia="仿宋_GB2312" w:cs="仿宋_GB2312"/>
                <w:color w:val="auto"/>
                <w:sz w:val="24"/>
                <w:highlight w:val="none"/>
              </w:rPr>
            </w:pPr>
          </w:p>
        </w:tc>
      </w:tr>
      <w:tr w14:paraId="3C1601A0">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right w:val="single" w:color="auto" w:sz="4" w:space="0"/>
            </w:tcBorders>
            <w:shd w:val="clear" w:color="auto" w:fill="auto"/>
            <w:vAlign w:val="center"/>
          </w:tcPr>
          <w:p w14:paraId="7560DFF7">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52F50597">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00034DFE">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测定过程</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5DA3848F">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正确使用电极进行样品测定操作</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790FBB3F">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6FE046AA">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732AB722">
            <w:pPr>
              <w:pStyle w:val="30"/>
              <w:adjustRightInd w:val="0"/>
              <w:snapToGrid w:val="0"/>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370A5CE2">
            <w:pPr>
              <w:adjustRightInd w:val="0"/>
              <w:snapToGrid w:val="0"/>
              <w:spacing w:line="360" w:lineRule="auto"/>
              <w:rPr>
                <w:rFonts w:hint="eastAsia" w:ascii="仿宋_GB2312" w:hAnsi="仿宋_GB2312" w:eastAsia="仿宋_GB2312" w:cs="仿宋_GB2312"/>
                <w:color w:val="auto"/>
                <w:sz w:val="24"/>
                <w:highlight w:val="none"/>
              </w:rPr>
            </w:pPr>
          </w:p>
        </w:tc>
      </w:tr>
      <w:tr w14:paraId="46C85E0F">
        <w:tblPrEx>
          <w:tblCellMar>
            <w:top w:w="0" w:type="dxa"/>
            <w:left w:w="0" w:type="dxa"/>
            <w:bottom w:w="0" w:type="dxa"/>
            <w:right w:w="0" w:type="dxa"/>
          </w:tblCellMar>
        </w:tblPrEx>
        <w:trPr>
          <w:jc w:val="center"/>
        </w:trPr>
        <w:tc>
          <w:tcPr>
            <w:tcW w:w="620" w:type="dxa"/>
            <w:vMerge w:val="continue"/>
            <w:tcBorders>
              <w:left w:val="single" w:color="auto" w:sz="4" w:space="0"/>
              <w:right w:val="single" w:color="auto" w:sz="4" w:space="0"/>
            </w:tcBorders>
            <w:shd w:val="clear" w:color="auto" w:fill="auto"/>
            <w:vAlign w:val="center"/>
          </w:tcPr>
          <w:p w14:paraId="44B4DED6">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1570FE3A">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5443B0A1">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样品测定</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76014542">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样品测定的精密度好、准确度高</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6EA7FC10">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结果评价</w:t>
            </w:r>
          </w:p>
        </w:tc>
        <w:tc>
          <w:tcPr>
            <w:tcW w:w="891" w:type="dxa"/>
            <w:vMerge w:val="continue"/>
            <w:tcBorders>
              <w:left w:val="single" w:color="auto" w:sz="4" w:space="0"/>
              <w:right w:val="single" w:color="auto" w:sz="4" w:space="0"/>
            </w:tcBorders>
            <w:shd w:val="clear" w:color="auto" w:fill="auto"/>
          </w:tcPr>
          <w:p w14:paraId="5D152C44">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15D36FC8">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8</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0B5E5F6C">
            <w:pPr>
              <w:pStyle w:val="30"/>
              <w:adjustRightInd w:val="0"/>
              <w:snapToGrid w:val="0"/>
              <w:spacing w:line="360" w:lineRule="auto"/>
              <w:ind w:left="102"/>
              <w:rPr>
                <w:rFonts w:hint="eastAsia" w:ascii="仿宋_GB2312" w:hAnsi="仿宋_GB2312" w:eastAsia="仿宋_GB2312" w:cs="仿宋_GB2312"/>
                <w:color w:val="auto"/>
                <w:sz w:val="24"/>
                <w:highlight w:val="none"/>
              </w:rPr>
            </w:pPr>
          </w:p>
        </w:tc>
      </w:tr>
      <w:tr w14:paraId="12A4B2C0">
        <w:tblPrEx>
          <w:tblCellMar>
            <w:top w:w="0" w:type="dxa"/>
            <w:left w:w="0" w:type="dxa"/>
            <w:bottom w:w="0" w:type="dxa"/>
            <w:right w:w="0" w:type="dxa"/>
          </w:tblCellMar>
        </w:tblPrEx>
        <w:trPr>
          <w:jc w:val="center"/>
        </w:trPr>
        <w:tc>
          <w:tcPr>
            <w:tcW w:w="620" w:type="dxa"/>
            <w:vMerge w:val="continue"/>
            <w:tcBorders>
              <w:left w:val="single" w:color="auto" w:sz="4" w:space="0"/>
              <w:right w:val="single" w:color="auto" w:sz="4" w:space="0"/>
            </w:tcBorders>
            <w:shd w:val="clear" w:color="auto" w:fill="auto"/>
            <w:vAlign w:val="center"/>
          </w:tcPr>
          <w:p w14:paraId="05F0D8AE">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7234DBF0">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1BD62605">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数据处理</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1A22FFF4">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数据记录规范</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13B531C4">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文字结果评价</w:t>
            </w:r>
          </w:p>
        </w:tc>
        <w:tc>
          <w:tcPr>
            <w:tcW w:w="891" w:type="dxa"/>
            <w:vMerge w:val="continue"/>
            <w:tcBorders>
              <w:left w:val="single" w:color="auto" w:sz="4" w:space="0"/>
              <w:right w:val="single" w:color="auto" w:sz="4" w:space="0"/>
            </w:tcBorders>
            <w:shd w:val="clear" w:color="auto" w:fill="auto"/>
          </w:tcPr>
          <w:p w14:paraId="2DCB4E39">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02EDA7C4">
            <w:pPr>
              <w:pStyle w:val="30"/>
              <w:adjustRightInd w:val="0"/>
              <w:snapToGrid w:val="0"/>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77C08AEF">
            <w:pPr>
              <w:pStyle w:val="30"/>
              <w:adjustRightInd w:val="0"/>
              <w:snapToGrid w:val="0"/>
              <w:spacing w:line="360" w:lineRule="auto"/>
              <w:ind w:left="102"/>
              <w:rPr>
                <w:rFonts w:hint="eastAsia" w:ascii="仿宋_GB2312" w:hAnsi="仿宋_GB2312" w:eastAsia="仿宋_GB2312" w:cs="仿宋_GB2312"/>
                <w:color w:val="auto"/>
                <w:sz w:val="24"/>
                <w:highlight w:val="none"/>
              </w:rPr>
            </w:pPr>
          </w:p>
        </w:tc>
      </w:tr>
      <w:tr w14:paraId="3CCD2AF6">
        <w:tblPrEx>
          <w:tblCellMar>
            <w:top w:w="0" w:type="dxa"/>
            <w:left w:w="0" w:type="dxa"/>
            <w:bottom w:w="0" w:type="dxa"/>
            <w:right w:w="0" w:type="dxa"/>
          </w:tblCellMar>
        </w:tblPrEx>
        <w:trPr>
          <w:jc w:val="center"/>
        </w:trPr>
        <w:tc>
          <w:tcPr>
            <w:tcW w:w="620" w:type="dxa"/>
            <w:vMerge w:val="continue"/>
            <w:tcBorders>
              <w:left w:val="single" w:color="auto" w:sz="4" w:space="0"/>
              <w:right w:val="single" w:color="auto" w:sz="4" w:space="0"/>
            </w:tcBorders>
            <w:shd w:val="clear" w:color="auto" w:fill="auto"/>
            <w:vAlign w:val="center"/>
          </w:tcPr>
          <w:p w14:paraId="3101B7AE">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70FC54FE">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1649D01E">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实验室组织与管理</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7E632928">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符合行业规范</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547DE601">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457F89E2">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3DD479A7">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353E165F">
            <w:pPr>
              <w:pStyle w:val="30"/>
              <w:adjustRightInd w:val="0"/>
              <w:snapToGrid w:val="0"/>
              <w:spacing w:line="360" w:lineRule="auto"/>
              <w:ind w:left="102"/>
              <w:rPr>
                <w:rFonts w:hint="eastAsia" w:ascii="仿宋_GB2312" w:hAnsi="仿宋_GB2312" w:eastAsia="仿宋_GB2312" w:cs="仿宋_GB2312"/>
                <w:color w:val="auto"/>
                <w:sz w:val="24"/>
                <w:highlight w:val="none"/>
              </w:rPr>
            </w:pPr>
          </w:p>
        </w:tc>
      </w:tr>
      <w:tr w14:paraId="214F0181">
        <w:tblPrEx>
          <w:tblCellMar>
            <w:top w:w="0" w:type="dxa"/>
            <w:left w:w="0" w:type="dxa"/>
            <w:bottom w:w="0" w:type="dxa"/>
            <w:right w:w="0" w:type="dxa"/>
          </w:tblCellMar>
        </w:tblPrEx>
        <w:trPr>
          <w:jc w:val="center"/>
        </w:trPr>
        <w:tc>
          <w:tcPr>
            <w:tcW w:w="620" w:type="dxa"/>
            <w:vMerge w:val="continue"/>
            <w:tcBorders>
              <w:left w:val="single" w:color="auto" w:sz="4" w:space="0"/>
              <w:bottom w:val="single" w:color="auto" w:sz="4" w:space="0"/>
              <w:right w:val="single" w:color="auto" w:sz="4" w:space="0"/>
            </w:tcBorders>
            <w:shd w:val="clear" w:color="auto" w:fill="auto"/>
            <w:vAlign w:val="center"/>
          </w:tcPr>
          <w:p w14:paraId="6BC9C76D">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6B78D24B">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0D051454">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报告</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49819AA0">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内容完整</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3FB653EB">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文字结果评价</w:t>
            </w:r>
          </w:p>
        </w:tc>
        <w:tc>
          <w:tcPr>
            <w:tcW w:w="891" w:type="dxa"/>
            <w:vMerge w:val="continue"/>
            <w:tcBorders>
              <w:left w:val="single" w:color="auto" w:sz="4" w:space="0"/>
              <w:bottom w:val="single" w:color="auto" w:sz="4" w:space="0"/>
              <w:right w:val="single" w:color="auto" w:sz="4" w:space="0"/>
            </w:tcBorders>
            <w:shd w:val="clear" w:color="auto" w:fill="auto"/>
          </w:tcPr>
          <w:p w14:paraId="6246B807">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78D9E969">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701C395E">
            <w:pPr>
              <w:pStyle w:val="30"/>
              <w:adjustRightInd w:val="0"/>
              <w:snapToGrid w:val="0"/>
              <w:spacing w:line="360" w:lineRule="auto"/>
              <w:ind w:left="102"/>
              <w:rPr>
                <w:rFonts w:hint="eastAsia" w:ascii="仿宋_GB2312" w:hAnsi="仿宋_GB2312" w:eastAsia="仿宋_GB2312" w:cs="仿宋_GB2312"/>
                <w:color w:val="auto"/>
                <w:sz w:val="24"/>
                <w:highlight w:val="none"/>
              </w:rPr>
            </w:pPr>
          </w:p>
        </w:tc>
      </w:tr>
      <w:tr w14:paraId="71CAA23C">
        <w:tblPrEx>
          <w:tblCellMar>
            <w:top w:w="0" w:type="dxa"/>
            <w:left w:w="0" w:type="dxa"/>
            <w:bottom w:w="0" w:type="dxa"/>
            <w:right w:w="0" w:type="dxa"/>
          </w:tblCellMar>
        </w:tblPrEx>
        <w:trPr>
          <w:jc w:val="center"/>
        </w:trPr>
        <w:tc>
          <w:tcPr>
            <w:tcW w:w="6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C001CC">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w:t>
            </w:r>
          </w:p>
        </w:tc>
        <w:tc>
          <w:tcPr>
            <w:tcW w:w="12417" w:type="dxa"/>
            <w:gridSpan w:val="6"/>
            <w:tcBorders>
              <w:top w:val="single" w:color="auto" w:sz="4" w:space="0"/>
              <w:left w:val="single" w:color="auto" w:sz="4" w:space="0"/>
              <w:bottom w:val="single" w:color="auto" w:sz="4" w:space="0"/>
              <w:right w:val="single" w:color="auto" w:sz="4" w:space="0"/>
            </w:tcBorders>
            <w:shd w:val="clear" w:color="auto" w:fill="auto"/>
          </w:tcPr>
          <w:p w14:paraId="453C4789">
            <w:pPr>
              <w:pStyle w:val="30"/>
              <w:adjustRightInd w:val="0"/>
              <w:snapToGrid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Cs/>
                <w:color w:val="auto"/>
                <w:sz w:val="24"/>
                <w:highlight w:val="none"/>
              </w:rPr>
              <w:t>有机物的合成（20分）</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68AA64BD">
            <w:pPr>
              <w:pStyle w:val="30"/>
              <w:adjustRightInd w:val="0"/>
              <w:snapToGrid w:val="0"/>
              <w:spacing w:line="360" w:lineRule="auto"/>
              <w:ind w:left="102"/>
              <w:rPr>
                <w:rFonts w:hint="eastAsia" w:ascii="仿宋_GB2312" w:hAnsi="仿宋_GB2312" w:eastAsia="仿宋_GB2312" w:cs="仿宋_GB2312"/>
                <w:color w:val="auto"/>
                <w:sz w:val="24"/>
                <w:highlight w:val="none"/>
              </w:rPr>
            </w:pPr>
          </w:p>
        </w:tc>
      </w:tr>
      <w:tr w14:paraId="44CB0036">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792249">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221CC7F2">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07434D04">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HSE</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72427B49">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描述涉及的HSE内容并做好自我保护</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487D5C5E">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restart"/>
            <w:tcBorders>
              <w:top w:val="single" w:color="auto" w:sz="4" w:space="0"/>
              <w:left w:val="single" w:color="auto" w:sz="4" w:space="0"/>
              <w:right w:val="single" w:color="auto" w:sz="4" w:space="0"/>
            </w:tcBorders>
            <w:shd w:val="clear" w:color="auto" w:fill="auto"/>
          </w:tcPr>
          <w:p w14:paraId="5861EF6E">
            <w:pPr>
              <w:pStyle w:val="30"/>
              <w:adjustRightInd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180min</w:t>
            </w: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36C5B4F3">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1</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6A25A064">
            <w:pPr>
              <w:adjustRightInd w:val="0"/>
              <w:snapToGrid w:val="0"/>
              <w:spacing w:line="360" w:lineRule="auto"/>
              <w:rPr>
                <w:rFonts w:hint="eastAsia" w:ascii="仿宋_GB2312" w:hAnsi="仿宋_GB2312" w:eastAsia="仿宋_GB2312" w:cs="仿宋_GB2312"/>
                <w:color w:val="auto"/>
                <w:sz w:val="24"/>
                <w:highlight w:val="none"/>
              </w:rPr>
            </w:pPr>
          </w:p>
        </w:tc>
      </w:tr>
      <w:tr w14:paraId="463B79D2">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840E12">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7BA9DD03">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17736423">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实验准备</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3955B702">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设备准备、物料衡算等</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14D1FA92">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47A45D16">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0B7A42D8">
            <w:pPr>
              <w:pStyle w:val="30"/>
              <w:adjustRightInd w:val="0"/>
              <w:snapToGrid w:val="0"/>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0B23409B">
            <w:pPr>
              <w:adjustRightInd w:val="0"/>
              <w:snapToGrid w:val="0"/>
              <w:spacing w:line="360" w:lineRule="auto"/>
              <w:rPr>
                <w:rFonts w:hint="eastAsia" w:ascii="仿宋_GB2312" w:hAnsi="仿宋_GB2312" w:eastAsia="仿宋_GB2312" w:cs="仿宋_GB2312"/>
                <w:color w:val="auto"/>
                <w:sz w:val="24"/>
                <w:highlight w:val="none"/>
              </w:rPr>
            </w:pPr>
          </w:p>
        </w:tc>
      </w:tr>
      <w:tr w14:paraId="508FDCE7">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9306CB">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29042D5C">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2893CE2B">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搭建实验装置</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71D4D6E8">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设置选择正确、搭建装置合理、安全</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69EA2143">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48560ED0">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73C843C0">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44FBE465">
            <w:pPr>
              <w:adjustRightInd w:val="0"/>
              <w:snapToGrid w:val="0"/>
              <w:spacing w:line="360" w:lineRule="auto"/>
              <w:rPr>
                <w:rFonts w:hint="eastAsia" w:ascii="仿宋_GB2312" w:hAnsi="仿宋_GB2312" w:eastAsia="仿宋_GB2312" w:cs="仿宋_GB2312"/>
                <w:color w:val="auto"/>
                <w:sz w:val="24"/>
                <w:highlight w:val="none"/>
              </w:rPr>
            </w:pPr>
          </w:p>
        </w:tc>
      </w:tr>
      <w:tr w14:paraId="15121C87">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33C462">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3E9C0D09">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M </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5E412B91">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加入反应物并合成反应</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5419D837">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加入反应物的方法正确、量的比例合理</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4976D1FC">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3E3D4704">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276876BE">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56180BB7">
            <w:pPr>
              <w:adjustRightInd w:val="0"/>
              <w:snapToGrid w:val="0"/>
              <w:spacing w:line="360" w:lineRule="auto"/>
              <w:rPr>
                <w:rFonts w:hint="eastAsia" w:ascii="仿宋_GB2312" w:hAnsi="仿宋_GB2312" w:eastAsia="仿宋_GB2312" w:cs="仿宋_GB2312"/>
                <w:color w:val="auto"/>
                <w:sz w:val="24"/>
                <w:highlight w:val="none"/>
              </w:rPr>
            </w:pPr>
          </w:p>
        </w:tc>
      </w:tr>
      <w:tr w14:paraId="0235F0A1">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242182">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3D7D76A9">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1C0DCE99">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产品的处置</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5DAFAE91">
            <w:pPr>
              <w:pStyle w:val="30"/>
              <w:adjustRightInd w:val="0"/>
              <w:snapToGrid w:val="0"/>
              <w:spacing w:line="360" w:lineRule="auto"/>
              <w:ind w:left="102" w:right="97"/>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产品分离、干燥与蒸馏</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52F0F64C">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6FDD1936">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234842C1">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5A700F7B">
            <w:pPr>
              <w:adjustRightInd w:val="0"/>
              <w:snapToGrid w:val="0"/>
              <w:spacing w:line="360" w:lineRule="auto"/>
              <w:ind w:left="102"/>
              <w:rPr>
                <w:rFonts w:hint="eastAsia" w:ascii="仿宋_GB2312" w:hAnsi="仿宋_GB2312" w:eastAsia="仿宋_GB2312" w:cs="仿宋_GB2312"/>
                <w:color w:val="auto"/>
                <w:sz w:val="24"/>
                <w:highlight w:val="none"/>
              </w:rPr>
            </w:pPr>
          </w:p>
        </w:tc>
      </w:tr>
      <w:tr w14:paraId="6423E603">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7C13E3">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42E2EB1D">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4D774415">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产品纯度测定</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1E030D1D">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正确测定折光率</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00AB51C9">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36207E96">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1BBED3F0">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1</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455D8E8D">
            <w:pPr>
              <w:pStyle w:val="30"/>
              <w:adjustRightInd w:val="0"/>
              <w:snapToGrid w:val="0"/>
              <w:spacing w:line="360" w:lineRule="auto"/>
              <w:ind w:left="102"/>
              <w:rPr>
                <w:rFonts w:hint="eastAsia" w:ascii="仿宋_GB2312" w:hAnsi="仿宋_GB2312" w:eastAsia="仿宋_GB2312" w:cs="仿宋_GB2312"/>
                <w:color w:val="auto"/>
                <w:sz w:val="24"/>
                <w:highlight w:val="none"/>
              </w:rPr>
            </w:pPr>
          </w:p>
        </w:tc>
      </w:tr>
      <w:tr w14:paraId="5C9BF294">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62E56C">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21091C92">
            <w:pPr>
              <w:pStyle w:val="30"/>
              <w:adjustRightInd w:val="0"/>
              <w:snapToGrid w:val="0"/>
              <w:spacing w:line="360" w:lineRule="auto"/>
              <w:ind w:right="1"/>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058B3439">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产品纯度及收率</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1B0C11D1">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产品纯度及收率高</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3DC0D6FA">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结果评价</w:t>
            </w:r>
          </w:p>
        </w:tc>
        <w:tc>
          <w:tcPr>
            <w:tcW w:w="891" w:type="dxa"/>
            <w:vMerge w:val="continue"/>
            <w:tcBorders>
              <w:left w:val="single" w:color="auto" w:sz="4" w:space="0"/>
              <w:right w:val="single" w:color="auto" w:sz="4" w:space="0"/>
            </w:tcBorders>
            <w:shd w:val="clear" w:color="auto" w:fill="auto"/>
          </w:tcPr>
          <w:p w14:paraId="1E4EDA17">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79381EB5">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4</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44FAA6C0">
            <w:pPr>
              <w:pStyle w:val="30"/>
              <w:adjustRightInd w:val="0"/>
              <w:snapToGrid w:val="0"/>
              <w:spacing w:line="360" w:lineRule="auto"/>
              <w:ind w:left="102"/>
              <w:rPr>
                <w:rFonts w:hint="eastAsia" w:ascii="仿宋_GB2312" w:hAnsi="仿宋_GB2312" w:eastAsia="仿宋_GB2312" w:cs="仿宋_GB2312"/>
                <w:color w:val="auto"/>
                <w:sz w:val="24"/>
                <w:highlight w:val="none"/>
              </w:rPr>
            </w:pPr>
          </w:p>
        </w:tc>
      </w:tr>
      <w:tr w14:paraId="53551DD8">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E86384">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061D698C">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M</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5531893F">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数据处理</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4F75EA09">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数据记录规范</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04BE2065">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结果评价</w:t>
            </w:r>
          </w:p>
        </w:tc>
        <w:tc>
          <w:tcPr>
            <w:tcW w:w="891" w:type="dxa"/>
            <w:vMerge w:val="continue"/>
            <w:tcBorders>
              <w:left w:val="single" w:color="auto" w:sz="4" w:space="0"/>
              <w:right w:val="single" w:color="auto" w:sz="4" w:space="0"/>
            </w:tcBorders>
            <w:shd w:val="clear" w:color="auto" w:fill="auto"/>
          </w:tcPr>
          <w:p w14:paraId="258A2692">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481359D3">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0D7EA230">
            <w:pPr>
              <w:adjustRightInd w:val="0"/>
              <w:snapToGrid w:val="0"/>
              <w:spacing w:line="360" w:lineRule="auto"/>
              <w:rPr>
                <w:rFonts w:hint="eastAsia" w:ascii="仿宋_GB2312" w:hAnsi="仿宋_GB2312" w:eastAsia="仿宋_GB2312" w:cs="仿宋_GB2312"/>
                <w:color w:val="auto"/>
                <w:sz w:val="24"/>
                <w:highlight w:val="none"/>
              </w:rPr>
            </w:pPr>
          </w:p>
        </w:tc>
      </w:tr>
      <w:tr w14:paraId="29B6F99D">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118E7C">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598C8016">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7B422DF0">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实验室组织与管理</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2F341769">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符合行业规范</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0544C33D">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过程巡视评价</w:t>
            </w:r>
          </w:p>
        </w:tc>
        <w:tc>
          <w:tcPr>
            <w:tcW w:w="891" w:type="dxa"/>
            <w:vMerge w:val="continue"/>
            <w:tcBorders>
              <w:left w:val="single" w:color="auto" w:sz="4" w:space="0"/>
              <w:right w:val="single" w:color="auto" w:sz="4" w:space="0"/>
            </w:tcBorders>
            <w:shd w:val="clear" w:color="auto" w:fill="auto"/>
          </w:tcPr>
          <w:p w14:paraId="081DEFA6">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098185C4">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74767470">
            <w:pPr>
              <w:adjustRightInd w:val="0"/>
              <w:snapToGrid w:val="0"/>
              <w:spacing w:line="360" w:lineRule="auto"/>
              <w:rPr>
                <w:rFonts w:hint="eastAsia" w:ascii="仿宋_GB2312" w:hAnsi="仿宋_GB2312" w:eastAsia="仿宋_GB2312" w:cs="仿宋_GB2312"/>
                <w:color w:val="auto"/>
                <w:sz w:val="24"/>
                <w:highlight w:val="none"/>
              </w:rPr>
            </w:pPr>
          </w:p>
        </w:tc>
      </w:tr>
      <w:tr w14:paraId="645D383F">
        <w:tblPrEx>
          <w:tblCellMar>
            <w:top w:w="0" w:type="dxa"/>
            <w:left w:w="0" w:type="dxa"/>
            <w:bottom w:w="0" w:type="dxa"/>
            <w:right w:w="0" w:type="dxa"/>
          </w:tblCellMar>
        </w:tblPrEx>
        <w:trPr>
          <w:jc w:val="center"/>
        </w:trPr>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155993">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43F8A5FC">
            <w:pPr>
              <w:pStyle w:val="30"/>
              <w:adjustRightInd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J</w:t>
            </w:r>
          </w:p>
        </w:tc>
        <w:tc>
          <w:tcPr>
            <w:tcW w:w="2970" w:type="dxa"/>
            <w:tcBorders>
              <w:top w:val="single" w:color="auto" w:sz="4" w:space="0"/>
              <w:left w:val="single" w:color="auto" w:sz="4" w:space="0"/>
              <w:bottom w:val="single" w:color="auto" w:sz="4" w:space="0"/>
              <w:right w:val="single" w:color="auto" w:sz="4" w:space="0"/>
            </w:tcBorders>
            <w:shd w:val="clear" w:color="auto" w:fill="auto"/>
          </w:tcPr>
          <w:p w14:paraId="20A9295D">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报告</w:t>
            </w:r>
          </w:p>
        </w:tc>
        <w:tc>
          <w:tcPr>
            <w:tcW w:w="4305" w:type="dxa"/>
            <w:tcBorders>
              <w:top w:val="single" w:color="auto" w:sz="4" w:space="0"/>
              <w:left w:val="single" w:color="auto" w:sz="4" w:space="0"/>
              <w:bottom w:val="single" w:color="auto" w:sz="4" w:space="0"/>
              <w:right w:val="single" w:color="auto" w:sz="4" w:space="0"/>
            </w:tcBorders>
            <w:shd w:val="clear" w:color="auto" w:fill="auto"/>
          </w:tcPr>
          <w:p w14:paraId="59236152">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内容完整</w:t>
            </w:r>
          </w:p>
        </w:tc>
        <w:tc>
          <w:tcPr>
            <w:tcW w:w="1625" w:type="dxa"/>
            <w:tcBorders>
              <w:top w:val="single" w:color="auto" w:sz="4" w:space="0"/>
              <w:left w:val="single" w:color="auto" w:sz="4" w:space="0"/>
              <w:bottom w:val="single" w:color="auto" w:sz="4" w:space="0"/>
              <w:right w:val="single" w:color="auto" w:sz="4" w:space="0"/>
            </w:tcBorders>
            <w:shd w:val="clear" w:color="auto" w:fill="auto"/>
          </w:tcPr>
          <w:p w14:paraId="7AE2B552">
            <w:pPr>
              <w:pStyle w:val="30"/>
              <w:adjustRightInd w:val="0"/>
              <w:snapToGrid w:val="0"/>
              <w:spacing w:line="360" w:lineRule="auto"/>
              <w:ind w:left="102"/>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文字结果评价</w:t>
            </w:r>
          </w:p>
        </w:tc>
        <w:tc>
          <w:tcPr>
            <w:tcW w:w="891" w:type="dxa"/>
            <w:vMerge w:val="continue"/>
            <w:tcBorders>
              <w:left w:val="single" w:color="auto" w:sz="4" w:space="0"/>
              <w:bottom w:val="single" w:color="auto" w:sz="4" w:space="0"/>
              <w:right w:val="single" w:color="auto" w:sz="4" w:space="0"/>
            </w:tcBorders>
            <w:shd w:val="clear" w:color="auto" w:fill="auto"/>
          </w:tcPr>
          <w:p w14:paraId="39F88755">
            <w:pPr>
              <w:adjustRightInd w:val="0"/>
              <w:snapToGrid w:val="0"/>
              <w:spacing w:line="360" w:lineRule="auto"/>
              <w:rPr>
                <w:rFonts w:hint="eastAsia" w:ascii="仿宋_GB2312" w:hAnsi="仿宋_GB2312" w:eastAsia="仿宋_GB2312" w:cs="仿宋_GB2312"/>
                <w:color w:val="auto"/>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14:paraId="3B0E014C">
            <w:pPr>
              <w:pStyle w:val="30"/>
              <w:adjustRightInd w:val="0"/>
              <w:snapToGrid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576" w:type="dxa"/>
            <w:tcBorders>
              <w:top w:val="single" w:color="auto" w:sz="4" w:space="0"/>
              <w:left w:val="single" w:color="auto" w:sz="4" w:space="0"/>
              <w:bottom w:val="single" w:color="auto" w:sz="4" w:space="0"/>
              <w:right w:val="single" w:color="auto" w:sz="4" w:space="0"/>
            </w:tcBorders>
            <w:shd w:val="clear" w:color="auto" w:fill="auto"/>
          </w:tcPr>
          <w:p w14:paraId="70288981">
            <w:pPr>
              <w:adjustRightInd w:val="0"/>
              <w:snapToGrid w:val="0"/>
              <w:spacing w:line="360" w:lineRule="auto"/>
              <w:rPr>
                <w:rFonts w:hint="eastAsia" w:ascii="仿宋_GB2312" w:hAnsi="仿宋_GB2312" w:eastAsia="仿宋_GB2312" w:cs="仿宋_GB2312"/>
                <w:color w:val="auto"/>
                <w:sz w:val="24"/>
                <w:highlight w:val="none"/>
              </w:rPr>
            </w:pPr>
          </w:p>
        </w:tc>
      </w:tr>
    </w:tbl>
    <w:p w14:paraId="10D10E84">
      <w:pPr>
        <w:spacing w:before="125" w:line="220" w:lineRule="auto"/>
        <w:ind w:left="135"/>
        <w:rPr>
          <w:rFonts w:hint="eastAsia" w:ascii="仿宋" w:hAnsi="仿宋" w:eastAsia="仿宋" w:cs="仿宋"/>
          <w:color w:val="auto"/>
          <w:sz w:val="32"/>
          <w:szCs w:val="32"/>
          <w:highlight w:val="none"/>
          <w:lang w:eastAsia="zh-CN"/>
        </w:rPr>
        <w:sectPr>
          <w:pgSz w:w="16838" w:h="11906" w:orient="landscape"/>
          <w:pgMar w:top="1531" w:right="2098" w:bottom="1531" w:left="1814" w:header="851" w:footer="1587" w:gutter="0"/>
          <w:pgNumType w:fmt="numberInDash"/>
          <w:cols w:space="0" w:num="1"/>
          <w:docGrid w:type="linesAndChars" w:linePitch="319" w:charSpace="0"/>
        </w:sectPr>
      </w:pPr>
      <w:r>
        <w:rPr>
          <w:rFonts w:hint="eastAsia" w:ascii="仿宋_GB2312" w:hAnsi="仿宋_GB2312" w:eastAsia="仿宋_GB2312" w:cs="仿宋_GB2312"/>
          <w:color w:val="auto"/>
          <w:spacing w:val="1"/>
          <w:sz w:val="32"/>
          <w:szCs w:val="32"/>
          <w:highlight w:val="none"/>
        </w:rPr>
        <w:t>注：</w:t>
      </w:r>
      <w:r>
        <w:rPr>
          <w:rFonts w:hint="eastAsia" w:ascii="仿宋_GB2312" w:hAnsi="仿宋_GB2312" w:eastAsia="仿宋_GB2312" w:cs="仿宋_GB2312"/>
          <w:color w:val="auto"/>
          <w:sz w:val="32"/>
          <w:szCs w:val="32"/>
          <w:highlight w:val="none"/>
        </w:rPr>
        <w:t xml:space="preserve"> 以竞赛时正式评分细则为准</w:t>
      </w:r>
      <w:r>
        <w:rPr>
          <w:rFonts w:hint="eastAsia" w:ascii="仿宋" w:hAnsi="仿宋" w:eastAsia="仿宋" w:cs="仿宋"/>
          <w:color w:val="auto"/>
          <w:sz w:val="32"/>
          <w:szCs w:val="32"/>
          <w:highlight w:val="none"/>
          <w:lang w:eastAsia="zh-CN"/>
        </w:rPr>
        <w:t>。</w:t>
      </w:r>
    </w:p>
    <w:p w14:paraId="47AFB5B8">
      <w:pPr>
        <w:pStyle w:val="4"/>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textAlignment w:val="auto"/>
        <w:rPr>
          <w:rFonts w:hint="eastAsia" w:ascii="黑体" w:hAnsi="黑体" w:eastAsia="黑体" w:cs="黑体"/>
          <w:b w:val="0"/>
          <w:bCs/>
          <w:color w:val="auto"/>
          <w:sz w:val="32"/>
          <w:szCs w:val="32"/>
          <w:highlight w:val="none"/>
        </w:rPr>
      </w:pPr>
      <w:bookmarkStart w:id="98" w:name="_Toc30253"/>
      <w:bookmarkStart w:id="99" w:name="_Toc21722"/>
      <w:bookmarkStart w:id="100" w:name="_Toc29635"/>
      <w:r>
        <w:rPr>
          <w:rFonts w:hint="eastAsia" w:ascii="黑体" w:hAnsi="黑体" w:eastAsia="黑体" w:cs="黑体"/>
          <w:b w:val="0"/>
          <w:bCs/>
          <w:color w:val="auto"/>
          <w:sz w:val="32"/>
          <w:szCs w:val="32"/>
          <w:highlight w:val="none"/>
        </w:rPr>
        <w:t>附件3  PHSJ-3F型酸度计操作规程</w:t>
      </w:r>
      <w:bookmarkEnd w:id="98"/>
      <w:bookmarkEnd w:id="99"/>
      <w:bookmarkEnd w:id="100"/>
    </w:p>
    <w:p w14:paraId="2CDAC797">
      <w:pPr>
        <w:spacing w:line="360" w:lineRule="auto"/>
        <w:outlineLvl w:val="0"/>
        <w:rPr>
          <w:rFonts w:hint="eastAsia" w:ascii="仿宋_GB2312" w:hAnsi="仿宋_GB2312" w:eastAsia="仿宋_GB2312" w:cs="仿宋_GB2312"/>
          <w:b/>
          <w:bCs/>
          <w:color w:val="auto"/>
          <w:sz w:val="32"/>
          <w:szCs w:val="32"/>
          <w:highlight w:val="none"/>
        </w:rPr>
      </w:pPr>
      <w:bookmarkStart w:id="101" w:name="_Toc4201"/>
      <w:bookmarkStart w:id="102" w:name="_Toc8325"/>
      <w:bookmarkStart w:id="103" w:name="_Toc19939"/>
      <w:r>
        <w:rPr>
          <w:rFonts w:hint="eastAsia" w:ascii="仿宋_GB2312" w:hAnsi="仿宋_GB2312" w:eastAsia="仿宋_GB2312" w:cs="仿宋_GB2312"/>
          <w:b/>
          <w:bCs/>
          <w:color w:val="auto"/>
          <w:sz w:val="32"/>
          <w:szCs w:val="32"/>
          <w:highlight w:val="none"/>
        </w:rPr>
        <w:t>一、仪器主要技术性能</w:t>
      </w:r>
      <w:bookmarkEnd w:id="101"/>
      <w:bookmarkEnd w:id="102"/>
      <w:bookmarkEnd w:id="103"/>
    </w:p>
    <w:p w14:paraId="06B81741">
      <w:pPr>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1 仪器级别：</w:t>
      </w:r>
      <w:r>
        <w:rPr>
          <w:rFonts w:hint="eastAsia" w:ascii="仿宋_GB2312" w:hAnsi="仿宋_GB2312" w:eastAsia="仿宋_GB2312" w:cs="仿宋_GB2312"/>
          <w:color w:val="auto"/>
          <w:sz w:val="32"/>
          <w:szCs w:val="32"/>
          <w:highlight w:val="none"/>
        </w:rPr>
        <w:t>0.01级</w:t>
      </w:r>
    </w:p>
    <w:p w14:paraId="7BB2F171">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2 测量范围</w:t>
      </w:r>
      <w:r>
        <w:rPr>
          <w:rFonts w:hint="eastAsia" w:ascii="仿宋_GB2312" w:hAnsi="仿宋_GB2312" w:eastAsia="仿宋_GB2312" w:cs="仿宋_GB2312"/>
          <w:color w:val="auto"/>
          <w:sz w:val="32"/>
          <w:szCs w:val="32"/>
          <w:highlight w:val="none"/>
        </w:rPr>
        <w:t>：(0.00～14.00)pH</w:t>
      </w:r>
    </w:p>
    <w:p w14:paraId="505300B1">
      <w:pPr>
        <w:spacing w:line="360" w:lineRule="auto"/>
        <w:ind w:firstLine="320" w:firstLineChars="1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电子单元测量范围：pH：(-2.00～20.00)pH</w:t>
      </w:r>
    </w:p>
    <w:p w14:paraId="1B0E4001">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mV：(-1999～1999)mV</w:t>
      </w:r>
    </w:p>
    <w:p w14:paraId="365496BA">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温度：(-5.0～135.0)℃</w:t>
      </w:r>
    </w:p>
    <w:p w14:paraId="6334B451">
      <w:pPr>
        <w:spacing w:line="360" w:lineRule="auto"/>
        <w:outlineLvl w:val="1"/>
        <w:rPr>
          <w:rFonts w:hint="eastAsia" w:ascii="仿宋_GB2312" w:hAnsi="仿宋_GB2312" w:eastAsia="仿宋_GB2312" w:cs="仿宋_GB2312"/>
          <w:color w:val="auto"/>
          <w:sz w:val="32"/>
          <w:szCs w:val="32"/>
          <w:highlight w:val="none"/>
        </w:rPr>
      </w:pPr>
      <w:bookmarkStart w:id="104" w:name="_Toc15556"/>
      <w:bookmarkStart w:id="105" w:name="_Toc12073"/>
      <w:bookmarkStart w:id="106" w:name="_Toc7865"/>
      <w:r>
        <w:rPr>
          <w:rFonts w:hint="eastAsia" w:ascii="仿宋_GB2312" w:hAnsi="仿宋_GB2312" w:eastAsia="仿宋_GB2312" w:cs="仿宋_GB2312"/>
          <w:b/>
          <w:color w:val="auto"/>
          <w:sz w:val="32"/>
          <w:szCs w:val="32"/>
          <w:highlight w:val="none"/>
        </w:rPr>
        <w:t xml:space="preserve">3 分辨率 </w:t>
      </w:r>
      <w:r>
        <w:rPr>
          <w:rFonts w:hint="eastAsia" w:ascii="仿宋_GB2312" w:hAnsi="仿宋_GB2312" w:eastAsia="仿宋_GB2312" w:cs="仿宋_GB2312"/>
          <w:color w:val="auto"/>
          <w:sz w:val="32"/>
          <w:szCs w:val="32"/>
          <w:highlight w:val="none"/>
        </w:rPr>
        <w:t xml:space="preserve">   pH：0.01pH</w:t>
      </w:r>
      <w:bookmarkEnd w:id="104"/>
      <w:bookmarkEnd w:id="105"/>
      <w:bookmarkEnd w:id="106"/>
    </w:p>
    <w:p w14:paraId="5502951B">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mV：1mV</w:t>
      </w:r>
    </w:p>
    <w:p w14:paraId="5FF53FA6">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温度：0.1℃</w:t>
      </w:r>
    </w:p>
    <w:p w14:paraId="38FB04FD">
      <w:pPr>
        <w:spacing w:line="360" w:lineRule="auto"/>
        <w:outlineLvl w:val="1"/>
        <w:rPr>
          <w:rFonts w:hint="eastAsia" w:ascii="仿宋_GB2312" w:hAnsi="仿宋_GB2312" w:eastAsia="仿宋_GB2312" w:cs="仿宋_GB2312"/>
          <w:color w:val="auto"/>
          <w:sz w:val="32"/>
          <w:szCs w:val="32"/>
          <w:highlight w:val="none"/>
        </w:rPr>
      </w:pPr>
      <w:bookmarkStart w:id="107" w:name="_Toc5095"/>
      <w:bookmarkStart w:id="108" w:name="_Toc24886"/>
      <w:bookmarkStart w:id="109" w:name="_Toc7841"/>
      <w:r>
        <w:rPr>
          <w:rFonts w:hint="eastAsia" w:ascii="仿宋_GB2312" w:hAnsi="仿宋_GB2312" w:eastAsia="仿宋_GB2312" w:cs="仿宋_GB2312"/>
          <w:b/>
          <w:color w:val="auto"/>
          <w:sz w:val="32"/>
          <w:szCs w:val="32"/>
          <w:highlight w:val="none"/>
        </w:rPr>
        <w:t>4 电子单元基本误差</w:t>
      </w:r>
      <w:r>
        <w:rPr>
          <w:rFonts w:hint="eastAsia" w:ascii="仿宋_GB2312" w:hAnsi="仿宋_GB2312" w:eastAsia="仿宋_GB2312" w:cs="仿宋_GB2312"/>
          <w:color w:val="auto"/>
          <w:sz w:val="32"/>
          <w:szCs w:val="32"/>
          <w:highlight w:val="none"/>
        </w:rPr>
        <w:t xml:space="preserve">  pH：</w:t>
      </w:r>
      <w:r>
        <w:rPr>
          <w:rFonts w:hint="eastAsia" w:ascii="仿宋_GB2312" w:hAnsi="仿宋_GB2312" w:eastAsia="仿宋_GB2312" w:cs="仿宋_GB2312"/>
          <w:color w:val="auto"/>
          <w:sz w:val="32"/>
          <w:szCs w:val="32"/>
          <w:highlight w:val="none"/>
        </w:rPr>
        <w:sym w:font="Symbol" w:char="F0B1"/>
      </w:r>
      <w:r>
        <w:rPr>
          <w:rFonts w:hint="eastAsia" w:ascii="仿宋_GB2312" w:hAnsi="仿宋_GB2312" w:eastAsia="仿宋_GB2312" w:cs="仿宋_GB2312"/>
          <w:color w:val="auto"/>
          <w:sz w:val="32"/>
          <w:szCs w:val="32"/>
          <w:highlight w:val="none"/>
        </w:rPr>
        <w:t>0.01pH</w:t>
      </w:r>
      <w:r>
        <w:rPr>
          <w:rFonts w:hint="eastAsia" w:ascii="仿宋_GB2312" w:hAnsi="仿宋_GB2312" w:eastAsia="仿宋_GB2312" w:cs="仿宋_GB2312"/>
          <w:color w:val="auto"/>
          <w:sz w:val="32"/>
          <w:szCs w:val="32"/>
          <w:highlight w:val="none"/>
        </w:rPr>
        <w:sym w:font="Symbol" w:char="F0B1"/>
      </w:r>
      <w:r>
        <w:rPr>
          <w:rFonts w:hint="eastAsia" w:ascii="仿宋_GB2312" w:hAnsi="仿宋_GB2312" w:eastAsia="仿宋_GB2312" w:cs="仿宋_GB2312"/>
          <w:color w:val="auto"/>
          <w:sz w:val="32"/>
          <w:szCs w:val="32"/>
          <w:highlight w:val="none"/>
        </w:rPr>
        <w:t>1个字</w:t>
      </w:r>
      <w:bookmarkEnd w:id="107"/>
      <w:bookmarkEnd w:id="108"/>
      <w:bookmarkEnd w:id="109"/>
    </w:p>
    <w:p w14:paraId="4D9D60E1">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mV：</w:t>
      </w:r>
      <w:r>
        <w:rPr>
          <w:rFonts w:hint="eastAsia" w:ascii="仿宋_GB2312" w:hAnsi="仿宋_GB2312" w:eastAsia="仿宋_GB2312" w:cs="仿宋_GB2312"/>
          <w:color w:val="auto"/>
          <w:sz w:val="32"/>
          <w:szCs w:val="32"/>
          <w:highlight w:val="none"/>
        </w:rPr>
        <w:sym w:font="Symbol" w:char="F0B1"/>
      </w:r>
      <w:r>
        <w:rPr>
          <w:rFonts w:hint="eastAsia" w:ascii="仿宋_GB2312" w:hAnsi="仿宋_GB2312" w:eastAsia="仿宋_GB2312" w:cs="仿宋_GB2312"/>
          <w:color w:val="auto"/>
          <w:sz w:val="32"/>
          <w:szCs w:val="32"/>
          <w:highlight w:val="none"/>
        </w:rPr>
        <w:t>0.1%FS</w:t>
      </w:r>
    </w:p>
    <w:p w14:paraId="46960761">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温度：</w:t>
      </w:r>
      <w:r>
        <w:rPr>
          <w:rFonts w:hint="eastAsia" w:ascii="仿宋_GB2312" w:hAnsi="仿宋_GB2312" w:eastAsia="仿宋_GB2312" w:cs="仿宋_GB2312"/>
          <w:color w:val="auto"/>
          <w:sz w:val="32"/>
          <w:szCs w:val="32"/>
          <w:highlight w:val="none"/>
        </w:rPr>
        <w:sym w:font="Symbol" w:char="F0B1"/>
      </w:r>
      <w:r>
        <w:rPr>
          <w:rFonts w:hint="eastAsia" w:ascii="仿宋_GB2312" w:hAnsi="仿宋_GB2312" w:eastAsia="仿宋_GB2312" w:cs="仿宋_GB2312"/>
          <w:color w:val="auto"/>
          <w:sz w:val="32"/>
          <w:szCs w:val="32"/>
          <w:highlight w:val="none"/>
        </w:rPr>
        <w:t>0.3℃</w:t>
      </w:r>
    </w:p>
    <w:p w14:paraId="77F858FA">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5 自动和手动温度补偿范围：</w:t>
      </w:r>
      <w:r>
        <w:rPr>
          <w:rFonts w:hint="eastAsia" w:ascii="仿宋_GB2312" w:hAnsi="仿宋_GB2312" w:eastAsia="仿宋_GB2312" w:cs="仿宋_GB2312"/>
          <w:color w:val="auto"/>
          <w:sz w:val="32"/>
          <w:szCs w:val="32"/>
          <w:highlight w:val="none"/>
        </w:rPr>
        <w:t>(0.0～135.0)℃</w:t>
      </w:r>
    </w:p>
    <w:p w14:paraId="32CD2804">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6 标定方式：</w:t>
      </w:r>
      <w:r>
        <w:rPr>
          <w:rFonts w:hint="eastAsia" w:ascii="仿宋_GB2312" w:hAnsi="仿宋_GB2312" w:eastAsia="仿宋_GB2312" w:cs="仿宋_GB2312"/>
          <w:color w:val="auto"/>
          <w:sz w:val="32"/>
          <w:szCs w:val="32"/>
          <w:highlight w:val="none"/>
        </w:rPr>
        <w:t>在(0.0～60.0)℃温度范围内，一点或二点自动标定</w:t>
      </w:r>
    </w:p>
    <w:p w14:paraId="1FF66E80">
      <w:pPr>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7 用于校准仪器的五种标准缓冲溶液(25.0℃)：</w:t>
      </w:r>
    </w:p>
    <w:p w14:paraId="3AB7B7A6">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0.05mol/L           草酸氢钾                 1.67pH</w:t>
      </w:r>
    </w:p>
    <w:p w14:paraId="21CC5911">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0.05mol/L           磷苯二甲酸氢钾           4.00pH</w:t>
      </w:r>
    </w:p>
    <w:p w14:paraId="305BFE3A">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0.025mol/L          混合磷酸盐               6.86pH</w:t>
      </w:r>
    </w:p>
    <w:p w14:paraId="0C994F09">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0.01mol/L           硼砂                     9.18pH</w:t>
      </w:r>
    </w:p>
    <w:p w14:paraId="536E6619">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饱和氢氧化钙             12.45pH</w:t>
      </w:r>
    </w:p>
    <w:p w14:paraId="0110ECAD">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8 仪器正常工作条件：</w:t>
      </w:r>
      <w:r>
        <w:rPr>
          <w:rFonts w:hint="eastAsia" w:ascii="仿宋_GB2312" w:hAnsi="仿宋_GB2312" w:eastAsia="仿宋_GB2312" w:cs="仿宋_GB2312"/>
          <w:color w:val="auto"/>
          <w:sz w:val="32"/>
          <w:szCs w:val="32"/>
          <w:highlight w:val="none"/>
        </w:rPr>
        <w:t>环境温度：(5～35)℃；相对湿度：不大于80％</w:t>
      </w:r>
    </w:p>
    <w:p w14:paraId="11D17F2D">
      <w:pPr>
        <w:spacing w:line="360" w:lineRule="auto"/>
        <w:ind w:firstLine="42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供电电源： 直流通用电源(9V DC，500mA)</w:t>
      </w:r>
    </w:p>
    <w:p w14:paraId="36B1E628">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除地磁场外，周围无电磁场干扰</w:t>
      </w:r>
    </w:p>
    <w:p w14:paraId="784EA3D5">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9</w:t>
      </w:r>
      <w:r>
        <w:rPr>
          <w:rFonts w:hint="eastAsia" w:ascii="仿宋_GB2312" w:hAnsi="仿宋_GB2312" w:eastAsia="仿宋_GB2312" w:cs="仿宋_GB2312"/>
          <w:color w:val="auto"/>
          <w:sz w:val="32"/>
          <w:szCs w:val="32"/>
          <w:highlight w:val="none"/>
        </w:rPr>
        <w:t xml:space="preserve"> 外形尺寸(mm)：290×200×75(长×宽×高)</w:t>
      </w:r>
    </w:p>
    <w:p w14:paraId="63D53699">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10</w:t>
      </w:r>
      <w:r>
        <w:rPr>
          <w:rFonts w:hint="eastAsia" w:ascii="仿宋_GB2312" w:hAnsi="仿宋_GB2312" w:eastAsia="仿宋_GB2312" w:cs="仿宋_GB2312"/>
          <w:color w:val="auto"/>
          <w:sz w:val="32"/>
          <w:szCs w:val="32"/>
          <w:highlight w:val="none"/>
        </w:rPr>
        <w:t xml:space="preserve"> 重量(kg)：约1kg</w:t>
      </w:r>
    </w:p>
    <w:p w14:paraId="278AE07E">
      <w:pPr>
        <w:spacing w:line="360" w:lineRule="auto"/>
        <w:outlineLvl w:val="0"/>
        <w:rPr>
          <w:rFonts w:hint="eastAsia" w:ascii="仿宋_GB2312" w:hAnsi="仿宋_GB2312" w:eastAsia="仿宋_GB2312" w:cs="仿宋_GB2312"/>
          <w:b/>
          <w:bCs/>
          <w:color w:val="auto"/>
          <w:sz w:val="32"/>
          <w:szCs w:val="32"/>
          <w:highlight w:val="none"/>
        </w:rPr>
      </w:pPr>
      <w:bookmarkStart w:id="110" w:name="_Toc17124"/>
      <w:bookmarkStart w:id="111" w:name="_Toc31725"/>
      <w:bookmarkStart w:id="112" w:name="_Toc17132"/>
      <w:r>
        <w:rPr>
          <w:rFonts w:hint="eastAsia" w:ascii="仿宋_GB2312" w:hAnsi="仿宋_GB2312" w:eastAsia="仿宋_GB2312" w:cs="仿宋_GB2312"/>
          <w:b/>
          <w:bCs/>
          <w:color w:val="auto"/>
          <w:sz w:val="32"/>
          <w:szCs w:val="32"/>
          <w:highlight w:val="none"/>
        </w:rPr>
        <w:t>二、仪器结构</w:t>
      </w:r>
      <w:bookmarkEnd w:id="110"/>
      <w:bookmarkEnd w:id="111"/>
      <w:bookmarkEnd w:id="112"/>
    </w:p>
    <w:p w14:paraId="5CB8D5DD">
      <w:pPr>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1 仪器正面图</w:t>
      </w:r>
    </w:p>
    <w:p w14:paraId="14764A6A">
      <w:pPr>
        <w:spacing w:line="360" w:lineRule="auto"/>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drawing>
          <wp:inline distT="0" distB="0" distL="114300" distR="114300">
            <wp:extent cx="1905000" cy="1044575"/>
            <wp:effectExtent l="0" t="0" r="0" b="3175"/>
            <wp:docPr id="5" name="图片 1"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a1"/>
                    <pic:cNvPicPr>
                      <a:picLocks noChangeAspect="1"/>
                    </pic:cNvPicPr>
                  </pic:nvPicPr>
                  <pic:blipFill>
                    <a:blip r:embed="rId10"/>
                    <a:stretch>
                      <a:fillRect/>
                    </a:stretch>
                  </pic:blipFill>
                  <pic:spPr>
                    <a:xfrm>
                      <a:off x="0" y="0"/>
                      <a:ext cx="1905000" cy="1044575"/>
                    </a:xfrm>
                    <a:prstGeom prst="rect">
                      <a:avLst/>
                    </a:prstGeom>
                    <a:noFill/>
                    <a:ln>
                      <a:noFill/>
                    </a:ln>
                  </pic:spPr>
                </pic:pic>
              </a:graphicData>
            </a:graphic>
          </wp:inline>
        </w:drawing>
      </w:r>
    </w:p>
    <w:p w14:paraId="06838A95">
      <w:pPr>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2 仪器后面板  </w:t>
      </w:r>
    </w:p>
    <w:p w14:paraId="68C6F080">
      <w:pPr>
        <w:spacing w:line="360" w:lineRule="auto"/>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drawing>
          <wp:inline distT="0" distB="0" distL="114300" distR="114300">
            <wp:extent cx="2774950" cy="870585"/>
            <wp:effectExtent l="0" t="0" r="6350" b="5715"/>
            <wp:docPr id="3" name="图片 2"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2"/>
                    <pic:cNvPicPr>
                      <a:picLocks noChangeAspect="1"/>
                    </pic:cNvPicPr>
                  </pic:nvPicPr>
                  <pic:blipFill>
                    <a:blip r:embed="rId11"/>
                    <a:stretch>
                      <a:fillRect/>
                    </a:stretch>
                  </pic:blipFill>
                  <pic:spPr>
                    <a:xfrm>
                      <a:off x="0" y="0"/>
                      <a:ext cx="2774950" cy="870585"/>
                    </a:xfrm>
                    <a:prstGeom prst="rect">
                      <a:avLst/>
                    </a:prstGeom>
                    <a:noFill/>
                    <a:ln>
                      <a:noFill/>
                    </a:ln>
                  </pic:spPr>
                </pic:pic>
              </a:graphicData>
            </a:graphic>
          </wp:inline>
        </w:drawing>
      </w:r>
    </w:p>
    <w:p w14:paraId="758EBEE4">
      <w:pPr>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3 仪器配件</w:t>
      </w:r>
    </w:p>
    <w:p w14:paraId="64D8C1FE">
      <w:pPr>
        <w:keepNext/>
        <w:spacing w:line="360" w:lineRule="auto"/>
        <w:outlineLvl w:val="1"/>
        <w:rPr>
          <w:rFonts w:hint="eastAsia" w:ascii="仿宋_GB2312" w:hAnsi="仿宋_GB2312" w:eastAsia="仿宋_GB2312" w:cs="仿宋_GB2312"/>
          <w:color w:val="auto"/>
          <w:sz w:val="32"/>
          <w:szCs w:val="32"/>
          <w:highlight w:val="none"/>
        </w:rPr>
      </w:pPr>
      <w:bookmarkStart w:id="113" w:name="_Toc31061"/>
      <w:bookmarkStart w:id="114" w:name="_Toc3606"/>
      <w:bookmarkStart w:id="115" w:name="_Toc10064"/>
      <w:r>
        <w:rPr>
          <w:rFonts w:hint="eastAsia" w:ascii="仿宋_GB2312" w:hAnsi="仿宋_GB2312" w:eastAsia="仿宋_GB2312" w:cs="仿宋_GB2312"/>
          <w:color w:val="auto"/>
          <w:sz w:val="32"/>
          <w:szCs w:val="32"/>
          <w:highlight w:val="none"/>
        </w:rPr>
        <w:t>（10）多功能电极架</w:t>
      </w:r>
      <w:bookmarkEnd w:id="113"/>
      <w:bookmarkEnd w:id="114"/>
      <w:bookmarkEnd w:id="115"/>
    </w:p>
    <w:p w14:paraId="48AD91C6">
      <w:pPr>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drawing>
          <wp:anchor distT="0" distB="0" distL="114300" distR="114300" simplePos="0" relativeHeight="251661312" behindDoc="0" locked="0" layoutInCell="1" allowOverlap="1">
            <wp:simplePos x="0" y="0"/>
            <wp:positionH relativeFrom="column">
              <wp:posOffset>2419350</wp:posOffset>
            </wp:positionH>
            <wp:positionV relativeFrom="paragraph">
              <wp:posOffset>129540</wp:posOffset>
            </wp:positionV>
            <wp:extent cx="2541905" cy="1202055"/>
            <wp:effectExtent l="0" t="0" r="10795" b="17145"/>
            <wp:wrapSquare wrapText="bothSides"/>
            <wp:docPr id="11" name="图片 6"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a4"/>
                    <pic:cNvPicPr>
                      <a:picLocks noChangeAspect="1"/>
                    </pic:cNvPicPr>
                  </pic:nvPicPr>
                  <pic:blipFill>
                    <a:blip r:embed="rId12"/>
                    <a:stretch>
                      <a:fillRect/>
                    </a:stretch>
                  </pic:blipFill>
                  <pic:spPr>
                    <a:xfrm>
                      <a:off x="0" y="0"/>
                      <a:ext cx="2541905" cy="1202055"/>
                    </a:xfrm>
                    <a:prstGeom prst="rect">
                      <a:avLst/>
                    </a:prstGeom>
                    <a:noFill/>
                    <a:ln>
                      <a:noFill/>
                    </a:ln>
                  </pic:spPr>
                </pic:pic>
              </a:graphicData>
            </a:graphic>
          </wp:anchor>
        </w:drawing>
      </w:r>
      <w:r>
        <w:rPr>
          <w:rFonts w:hint="eastAsia" w:ascii="仿宋_GB2312" w:hAnsi="仿宋_GB2312" w:eastAsia="仿宋_GB2312" w:cs="仿宋_GB2312"/>
          <w:color w:val="auto"/>
          <w:sz w:val="32"/>
          <w:szCs w:val="32"/>
          <w:highlight w:val="none"/>
        </w:rPr>
        <w:drawing>
          <wp:anchor distT="0" distB="0" distL="114300" distR="114300" simplePos="0" relativeHeight="251660288" behindDoc="1" locked="0" layoutInCell="1" allowOverlap="1">
            <wp:simplePos x="0" y="0"/>
            <wp:positionH relativeFrom="column">
              <wp:posOffset>194310</wp:posOffset>
            </wp:positionH>
            <wp:positionV relativeFrom="paragraph">
              <wp:posOffset>148590</wp:posOffset>
            </wp:positionV>
            <wp:extent cx="1383030" cy="1061085"/>
            <wp:effectExtent l="0" t="0" r="7620" b="5715"/>
            <wp:wrapTight wrapText="bothSides">
              <wp:wrapPolygon>
                <wp:start x="0" y="0"/>
                <wp:lineTo x="0" y="21329"/>
                <wp:lineTo x="21421" y="21329"/>
                <wp:lineTo x="21421" y="0"/>
                <wp:lineTo x="0" y="0"/>
              </wp:wrapPolygon>
            </wp:wrapTight>
            <wp:docPr id="7" name="图片 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a"/>
                    <pic:cNvPicPr>
                      <a:picLocks noChangeAspect="1"/>
                    </pic:cNvPicPr>
                  </pic:nvPicPr>
                  <pic:blipFill>
                    <a:blip r:embed="rId13"/>
                    <a:stretch>
                      <a:fillRect/>
                    </a:stretch>
                  </pic:blipFill>
                  <pic:spPr>
                    <a:xfrm>
                      <a:off x="0" y="0"/>
                      <a:ext cx="1383030" cy="1061085"/>
                    </a:xfrm>
                    <a:prstGeom prst="rect">
                      <a:avLst/>
                    </a:prstGeom>
                    <a:noFill/>
                    <a:ln>
                      <a:noFill/>
                    </a:ln>
                  </pic:spPr>
                </pic:pic>
              </a:graphicData>
            </a:graphic>
          </wp:anchor>
        </w:drawing>
      </w:r>
    </w:p>
    <w:p w14:paraId="67DB81DF">
      <w:pPr>
        <w:spacing w:line="360" w:lineRule="auto"/>
        <w:rPr>
          <w:rFonts w:hint="eastAsia" w:ascii="仿宋_GB2312" w:hAnsi="仿宋_GB2312" w:eastAsia="仿宋_GB2312" w:cs="仿宋_GB2312"/>
          <w:color w:val="auto"/>
          <w:sz w:val="32"/>
          <w:szCs w:val="32"/>
          <w:highlight w:val="none"/>
        </w:rPr>
      </w:pPr>
    </w:p>
    <w:p w14:paraId="6384D5F6">
      <w:pPr>
        <w:spacing w:line="360" w:lineRule="auto"/>
        <w:rPr>
          <w:rFonts w:hint="eastAsia" w:ascii="仿宋_GB2312" w:hAnsi="仿宋_GB2312" w:eastAsia="仿宋_GB2312" w:cs="仿宋_GB2312"/>
          <w:color w:val="auto"/>
          <w:sz w:val="32"/>
          <w:szCs w:val="32"/>
          <w:highlight w:val="none"/>
        </w:rPr>
      </w:pPr>
    </w:p>
    <w:p w14:paraId="6C88A1FC">
      <w:pPr>
        <w:spacing w:line="360" w:lineRule="auto"/>
        <w:rPr>
          <w:rFonts w:hint="eastAsia" w:ascii="仿宋_GB2312" w:hAnsi="仿宋_GB2312" w:eastAsia="仿宋_GB2312" w:cs="仿宋_GB2312"/>
          <w:color w:val="auto"/>
          <w:sz w:val="32"/>
          <w:szCs w:val="32"/>
          <w:highlight w:val="none"/>
        </w:rPr>
      </w:pPr>
    </w:p>
    <w:p w14:paraId="592CC2D3">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drawing>
          <wp:anchor distT="0" distB="0" distL="114300" distR="114300" simplePos="0" relativeHeight="251659264" behindDoc="1" locked="0" layoutInCell="1" allowOverlap="1">
            <wp:simplePos x="0" y="0"/>
            <wp:positionH relativeFrom="column">
              <wp:posOffset>213360</wp:posOffset>
            </wp:positionH>
            <wp:positionV relativeFrom="paragraph">
              <wp:posOffset>327660</wp:posOffset>
            </wp:positionV>
            <wp:extent cx="2004060" cy="1423035"/>
            <wp:effectExtent l="0" t="0" r="15240" b="5715"/>
            <wp:wrapTight wrapText="bothSides">
              <wp:wrapPolygon>
                <wp:start x="0" y="0"/>
                <wp:lineTo x="0" y="21398"/>
                <wp:lineTo x="21354" y="21398"/>
                <wp:lineTo x="21354" y="0"/>
                <wp:lineTo x="0" y="0"/>
              </wp:wrapPolygon>
            </wp:wrapTight>
            <wp:docPr id="6" name="图片 7"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a5"/>
                    <pic:cNvPicPr>
                      <a:picLocks noChangeAspect="1"/>
                    </pic:cNvPicPr>
                  </pic:nvPicPr>
                  <pic:blipFill>
                    <a:blip r:embed="rId14"/>
                    <a:stretch>
                      <a:fillRect/>
                    </a:stretch>
                  </pic:blipFill>
                  <pic:spPr>
                    <a:xfrm>
                      <a:off x="0" y="0"/>
                      <a:ext cx="2004060" cy="1423035"/>
                    </a:xfrm>
                    <a:prstGeom prst="rect">
                      <a:avLst/>
                    </a:prstGeom>
                    <a:noFill/>
                    <a:ln>
                      <a:noFill/>
                    </a:ln>
                  </pic:spPr>
                </pic:pic>
              </a:graphicData>
            </a:graphic>
          </wp:anchor>
        </w:drawing>
      </w:r>
      <w:r>
        <w:rPr>
          <w:rFonts w:hint="eastAsia" w:ascii="仿宋_GB2312" w:hAnsi="仿宋_GB2312" w:eastAsia="仿宋_GB2312" w:cs="仿宋_GB2312"/>
          <w:color w:val="auto"/>
          <w:sz w:val="32"/>
          <w:szCs w:val="32"/>
          <w:highlight w:val="none"/>
        </w:rPr>
        <w:drawing>
          <wp:anchor distT="0" distB="0" distL="114300" distR="114300" simplePos="0" relativeHeight="251662336" behindDoc="0" locked="0" layoutInCell="1" allowOverlap="1">
            <wp:simplePos x="0" y="0"/>
            <wp:positionH relativeFrom="column">
              <wp:posOffset>2364105</wp:posOffset>
            </wp:positionH>
            <wp:positionV relativeFrom="paragraph">
              <wp:posOffset>400050</wp:posOffset>
            </wp:positionV>
            <wp:extent cx="2218055" cy="1336040"/>
            <wp:effectExtent l="0" t="0" r="10795" b="16510"/>
            <wp:wrapSquare wrapText="bothSides"/>
            <wp:docPr id="1" name="图片 8"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a6"/>
                    <pic:cNvPicPr>
                      <a:picLocks noChangeAspect="1"/>
                    </pic:cNvPicPr>
                  </pic:nvPicPr>
                  <pic:blipFill>
                    <a:blip r:embed="rId15"/>
                    <a:stretch>
                      <a:fillRect/>
                    </a:stretch>
                  </pic:blipFill>
                  <pic:spPr>
                    <a:xfrm>
                      <a:off x="0" y="0"/>
                      <a:ext cx="2218055" cy="1336040"/>
                    </a:xfrm>
                    <a:prstGeom prst="rect">
                      <a:avLst/>
                    </a:prstGeom>
                    <a:noFill/>
                    <a:ln>
                      <a:noFill/>
                    </a:ln>
                  </pic:spPr>
                </pic:pic>
              </a:graphicData>
            </a:graphic>
          </wp:anchor>
        </w:drawing>
      </w:r>
    </w:p>
    <w:p w14:paraId="318BD82B">
      <w:pPr>
        <w:spacing w:line="360" w:lineRule="auto"/>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drawing>
          <wp:inline distT="0" distB="0" distL="114300" distR="114300">
            <wp:extent cx="1896745" cy="1331595"/>
            <wp:effectExtent l="0" t="0" r="8255" b="1905"/>
            <wp:docPr id="2" name="图片 3"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a7"/>
                    <pic:cNvPicPr>
                      <a:picLocks noChangeAspect="1"/>
                    </pic:cNvPicPr>
                  </pic:nvPicPr>
                  <pic:blipFill>
                    <a:blip r:embed="rId16"/>
                    <a:stretch>
                      <a:fillRect/>
                    </a:stretch>
                  </pic:blipFill>
                  <pic:spPr>
                    <a:xfrm>
                      <a:off x="0" y="0"/>
                      <a:ext cx="1896745" cy="1331595"/>
                    </a:xfrm>
                    <a:prstGeom prst="rect">
                      <a:avLst/>
                    </a:prstGeom>
                    <a:noFill/>
                    <a:ln>
                      <a:noFill/>
                    </a:ln>
                  </pic:spPr>
                </pic:pic>
              </a:graphicData>
            </a:graphic>
          </wp:inline>
        </w:drawing>
      </w:r>
    </w:p>
    <w:p w14:paraId="359169B3">
      <w:pPr>
        <w:tabs>
          <w:tab w:val="center" w:pos="4365"/>
        </w:tabs>
        <w:spacing w:line="360" w:lineRule="auto"/>
        <w:outlineLvl w:val="0"/>
        <w:rPr>
          <w:rFonts w:hint="eastAsia" w:ascii="仿宋_GB2312" w:hAnsi="仿宋_GB2312" w:eastAsia="仿宋_GB2312" w:cs="仿宋_GB2312"/>
          <w:color w:val="auto"/>
          <w:sz w:val="32"/>
          <w:szCs w:val="32"/>
          <w:highlight w:val="none"/>
        </w:rPr>
      </w:pPr>
      <w:bookmarkStart w:id="116" w:name="_Toc14204"/>
      <w:bookmarkStart w:id="117" w:name="_Toc14880"/>
      <w:bookmarkStart w:id="118" w:name="_Toc22720"/>
      <w:r>
        <w:rPr>
          <w:rFonts w:hint="eastAsia" w:ascii="仿宋_GB2312" w:hAnsi="仿宋_GB2312" w:eastAsia="仿宋_GB2312" w:cs="仿宋_GB2312"/>
          <w:b/>
          <w:bCs/>
          <w:color w:val="auto"/>
          <w:sz w:val="32"/>
          <w:szCs w:val="32"/>
          <w:highlight w:val="none"/>
        </w:rPr>
        <w:t>三、仪器使用</w:t>
      </w:r>
      <w:bookmarkEnd w:id="116"/>
      <w:bookmarkEnd w:id="117"/>
      <w:bookmarkEnd w:id="118"/>
      <w:r>
        <w:rPr>
          <w:rFonts w:hint="eastAsia" w:ascii="仿宋_GB2312" w:hAnsi="仿宋_GB2312" w:eastAsia="仿宋_GB2312" w:cs="仿宋_GB2312"/>
          <w:color w:val="auto"/>
          <w:sz w:val="32"/>
          <w:szCs w:val="32"/>
          <w:highlight w:val="none"/>
        </w:rPr>
        <w:tab/>
      </w:r>
    </w:p>
    <w:p w14:paraId="165FB1C8">
      <w:pPr>
        <w:topLinePunct/>
        <w:spacing w:line="360" w:lineRule="auto"/>
        <w:outlineLvl w:val="1"/>
        <w:rPr>
          <w:rFonts w:hint="eastAsia" w:ascii="仿宋_GB2312" w:hAnsi="仿宋_GB2312" w:eastAsia="仿宋_GB2312" w:cs="仿宋_GB2312"/>
          <w:b/>
          <w:color w:val="auto"/>
          <w:sz w:val="32"/>
          <w:szCs w:val="32"/>
          <w:highlight w:val="none"/>
        </w:rPr>
      </w:pPr>
      <w:bookmarkStart w:id="119" w:name="_Toc15664"/>
      <w:bookmarkStart w:id="120" w:name="_Toc93"/>
      <w:bookmarkStart w:id="121" w:name="_Toc31597"/>
      <w:r>
        <w:rPr>
          <w:rFonts w:hint="eastAsia" w:ascii="仿宋_GB2312" w:hAnsi="仿宋_GB2312" w:eastAsia="仿宋_GB2312" w:cs="仿宋_GB2312"/>
          <w:b/>
          <w:color w:val="auto"/>
          <w:sz w:val="32"/>
          <w:szCs w:val="32"/>
          <w:highlight w:val="none"/>
        </w:rPr>
        <w:t>1 仪器安装</w:t>
      </w:r>
      <w:bookmarkEnd w:id="119"/>
      <w:bookmarkEnd w:id="120"/>
      <w:bookmarkEnd w:id="121"/>
    </w:p>
    <w:p w14:paraId="77EC9B35">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a多功能电极架插入电极梗座内。</w:t>
      </w:r>
    </w:p>
    <w:p w14:paraId="0E6D3960">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 pH复合电极和温度传感器夹在多功能电极架上。</w:t>
      </w:r>
    </w:p>
    <w:p w14:paraId="72E0E187">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c拉下pH复合电极前端的电极套。</w:t>
      </w:r>
    </w:p>
    <w:p w14:paraId="504BA124">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d在测量电极插座处拔去短路插头。然后，分别将pH复合电极和温度传感器插入测量电极插座和温度传感器插座内。</w:t>
      </w:r>
    </w:p>
    <w:p w14:paraId="5C4786BD">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e用蒸馏水清洗复合电极，清洗后用滤纸吸干电极底部的水份。然后将复合电极和温度传感器浸入被测溶液中。</w:t>
      </w:r>
    </w:p>
    <w:p w14:paraId="527E4043">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f通用电源器输出插头插入仪器的电源插座内。然后，接通通用电源器的电源，仪器可以进行正常操作。</w:t>
      </w:r>
    </w:p>
    <w:p w14:paraId="0220E138">
      <w:pPr>
        <w:topLinePunct/>
        <w:spacing w:line="360" w:lineRule="auto"/>
        <w:outlineLvl w:val="1"/>
        <w:rPr>
          <w:rFonts w:hint="eastAsia" w:ascii="仿宋_GB2312" w:hAnsi="仿宋_GB2312" w:eastAsia="仿宋_GB2312" w:cs="仿宋_GB2312"/>
          <w:b/>
          <w:color w:val="auto"/>
          <w:sz w:val="32"/>
          <w:szCs w:val="32"/>
          <w:highlight w:val="none"/>
        </w:rPr>
      </w:pPr>
      <w:bookmarkStart w:id="122" w:name="_Toc4077"/>
      <w:bookmarkStart w:id="123" w:name="_Toc13752"/>
      <w:bookmarkStart w:id="124" w:name="_Toc9990"/>
      <w:r>
        <w:rPr>
          <w:rFonts w:hint="eastAsia" w:ascii="仿宋_GB2312" w:hAnsi="仿宋_GB2312" w:eastAsia="仿宋_GB2312" w:cs="仿宋_GB2312"/>
          <w:b/>
          <w:color w:val="auto"/>
          <w:sz w:val="32"/>
          <w:szCs w:val="32"/>
          <w:highlight w:val="none"/>
        </w:rPr>
        <w:t>2 开机</w:t>
      </w:r>
      <w:bookmarkEnd w:id="122"/>
      <w:bookmarkEnd w:id="123"/>
      <w:bookmarkEnd w:id="124"/>
    </w:p>
    <w:p w14:paraId="4C5EA578">
      <w:pPr>
        <w:topLinePunct/>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按下“ON/OFF”键，仪器自动进入pH测量状态。 </w:t>
      </w:r>
    </w:p>
    <w:p w14:paraId="6FD2376E">
      <w:pPr>
        <w:topLinePunct/>
        <w:spacing w:line="360" w:lineRule="auto"/>
        <w:outlineLvl w:val="1"/>
        <w:rPr>
          <w:rFonts w:hint="eastAsia" w:ascii="仿宋_GB2312" w:hAnsi="仿宋_GB2312" w:eastAsia="仿宋_GB2312" w:cs="仿宋_GB2312"/>
          <w:b/>
          <w:color w:val="auto"/>
          <w:sz w:val="32"/>
          <w:szCs w:val="32"/>
          <w:highlight w:val="none"/>
        </w:rPr>
      </w:pPr>
      <w:bookmarkStart w:id="125" w:name="_Toc14022"/>
      <w:bookmarkStart w:id="126" w:name="_Toc14431"/>
      <w:bookmarkStart w:id="127" w:name="_Toc22435"/>
      <w:r>
        <w:rPr>
          <w:rFonts w:hint="eastAsia" w:ascii="仿宋_GB2312" w:hAnsi="仿宋_GB2312" w:eastAsia="仿宋_GB2312" w:cs="仿宋_GB2312"/>
          <w:b/>
          <w:color w:val="auto"/>
          <w:sz w:val="32"/>
          <w:szCs w:val="32"/>
          <w:highlight w:val="none"/>
        </w:rPr>
        <w:t>3 等电位点</w:t>
      </w:r>
      <w:bookmarkEnd w:id="125"/>
      <w:bookmarkEnd w:id="126"/>
      <w:bookmarkEnd w:id="127"/>
    </w:p>
    <w:p w14:paraId="2A19DE9F">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仪器处于任何工作状态下，按下“ISO”键，仪器即进入“等电位点”选择工作状态。仪器设有3个等电位点，即等电位点7.00pH、12.00pH、17.00pH。用户可通过“▲”或“▼”键选用所需的等电位点。</w:t>
      </w:r>
    </w:p>
    <w:p w14:paraId="535B5CB0">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一般水溶液的pH测量选用等电位点7.00pH。</w:t>
      </w:r>
    </w:p>
    <w:p w14:paraId="0BC41241">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纯水和超纯水溶液的pH测量选用等电位点12.00pH。</w:t>
      </w:r>
    </w:p>
    <w:p w14:paraId="1B00C203">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测量含有氨水溶液的pH值选用等电位点17.00pH。</w:t>
      </w:r>
    </w:p>
    <w:p w14:paraId="3F7BCB22">
      <w:pPr>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此时，pH、mV和校准键均有效。如按下其中某一键，则仪器进入相应的工作状态。</w:t>
      </w:r>
    </w:p>
    <w:p w14:paraId="49A802E6">
      <w:pPr>
        <w:topLinePunct/>
        <w:spacing w:line="360" w:lineRule="auto"/>
        <w:outlineLvl w:val="1"/>
        <w:rPr>
          <w:rFonts w:hint="eastAsia" w:ascii="仿宋_GB2312" w:hAnsi="仿宋_GB2312" w:eastAsia="仿宋_GB2312" w:cs="仿宋_GB2312"/>
          <w:color w:val="auto"/>
          <w:sz w:val="32"/>
          <w:szCs w:val="32"/>
          <w:highlight w:val="none"/>
        </w:rPr>
      </w:pPr>
      <w:bookmarkStart w:id="128" w:name="_Toc23899"/>
      <w:bookmarkStart w:id="129" w:name="_Toc10161"/>
      <w:bookmarkStart w:id="130" w:name="_Toc14439"/>
      <w:r>
        <w:rPr>
          <w:rFonts w:hint="eastAsia" w:ascii="仿宋_GB2312" w:hAnsi="仿宋_GB2312" w:eastAsia="仿宋_GB2312" w:cs="仿宋_GB2312"/>
          <w:b/>
          <w:color w:val="auto"/>
          <w:sz w:val="32"/>
          <w:szCs w:val="32"/>
          <w:highlight w:val="none"/>
        </w:rPr>
        <w:t>4 电极标定</w:t>
      </w:r>
      <w:bookmarkEnd w:id="128"/>
      <w:bookmarkEnd w:id="129"/>
      <w:bookmarkEnd w:id="130"/>
    </w:p>
    <w:p w14:paraId="31790D72">
      <w:pPr>
        <w:topLinePunct/>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·一点标定</w:t>
      </w:r>
    </w:p>
    <w:p w14:paraId="53B8F066">
      <w:pPr>
        <w:topLinePunct/>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一点标定含义是只采用一种pH标准缓冲溶液对电极系统进行定，用于自动校准仪器的定位值。仪器把pH复合电极的百分斜率作为100％，在测量精度要求不高的情况下，可采用此方法，简化操作。操作步骤如下：</w:t>
      </w:r>
    </w:p>
    <w:p w14:paraId="2615718F">
      <w:pPr>
        <w:topLinePunct/>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 将pH 复合电极插入仪器的测量电极插座内，并将该电极用蒸馏水清洗干净，放入pH标准缓冲溶液A中（规定的五种pH标准缓冲溶液中的任意一种）。</w:t>
      </w:r>
    </w:p>
    <w:p w14:paraId="3CB1E6F5">
      <w:pPr>
        <w:topLinePunct/>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 在仪器处于任何工作状态下，按“校准”键，仪器即进入“标定1”工作状态，此时，仪器显示“标定1”以及当前测得pH值和温度值。</w:t>
      </w:r>
    </w:p>
    <w:p w14:paraId="1BAF0F72">
      <w:pPr>
        <w:topLinePunct/>
        <w:snapToGrid w:val="0"/>
        <w:spacing w:line="360" w:lineRule="auto"/>
        <w:ind w:firstLine="64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c 当显示屏上的pH值读数趋于稳定后，按“确认”键，仪器显示“标定1结束”以及pH值、E</w:t>
      </w:r>
      <w:r>
        <w:rPr>
          <w:rFonts w:hint="eastAsia" w:ascii="仿宋_GB2312" w:hAnsi="仿宋_GB2312" w:eastAsia="仿宋_GB2312" w:cs="仿宋_GB2312"/>
          <w:color w:val="auto"/>
          <w:sz w:val="32"/>
          <w:szCs w:val="32"/>
          <w:highlight w:val="none"/>
          <w:vertAlign w:val="subscript"/>
        </w:rPr>
        <w:t>0</w:t>
      </w:r>
      <w:r>
        <w:rPr>
          <w:rFonts w:hint="eastAsia" w:ascii="仿宋_GB2312" w:hAnsi="仿宋_GB2312" w:eastAsia="仿宋_GB2312" w:cs="仿宋_GB2312"/>
          <w:color w:val="auto"/>
          <w:sz w:val="32"/>
          <w:szCs w:val="32"/>
          <w:highlight w:val="none"/>
        </w:rPr>
        <w:t>值和斜率值，说明仪器已完成一点标定。</w:t>
      </w:r>
    </w:p>
    <w:p w14:paraId="080624FB">
      <w:pPr>
        <w:topLinePunct/>
        <w:snapToGrid w:val="0"/>
        <w:spacing w:line="360" w:lineRule="auto"/>
        <w:ind w:firstLine="42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此时，pH、mV和校准键均有效。如按下其中某一键，则仪器进入相应的工作状态。</w:t>
      </w:r>
    </w:p>
    <w:p w14:paraId="3358CBFF">
      <w:pPr>
        <w:topLinePunct/>
        <w:snapToGrid w:val="0"/>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·二点标定</w:t>
      </w:r>
    </w:p>
    <w:p w14:paraId="67B56B99">
      <w:pPr>
        <w:topLinePunct/>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二点标定是为了提高pH的测量精度。其含义是选用二种pH标准缓冲溶液对电极系统进行标定，测得pH复合电极的实际百分斜率和定位值。操作步骤如下：</w:t>
      </w:r>
    </w:p>
    <w:p w14:paraId="27E12783">
      <w:pPr>
        <w:topLinePunct/>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 在完成一点标定后，将电极取出重新用蒸馏水清洗干净，放入pH标准缓冲溶液B中。</w:t>
      </w:r>
    </w:p>
    <w:p w14:paraId="1D2023BA">
      <w:pPr>
        <w:topLinePunct/>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 再按“校准”键，使仪器进入“标定2”工作状态，仪器显示“标定2”  以及当前的pH值和温度值。</w:t>
      </w:r>
    </w:p>
    <w:p w14:paraId="1305358B">
      <w:pPr>
        <w:topLinePunct/>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 当显示屏上的pH值读数趋于稳定后，按下“确认”键，仪器显示“标定2结束”以及pH值、E</w:t>
      </w:r>
      <w:r>
        <w:rPr>
          <w:rFonts w:hint="eastAsia" w:ascii="仿宋_GB2312" w:hAnsi="仿宋_GB2312" w:eastAsia="仿宋_GB2312" w:cs="仿宋_GB2312"/>
          <w:color w:val="auto"/>
          <w:sz w:val="32"/>
          <w:szCs w:val="32"/>
          <w:highlight w:val="none"/>
          <w:vertAlign w:val="subscript"/>
        </w:rPr>
        <w:t>0</w:t>
      </w:r>
      <w:r>
        <w:rPr>
          <w:rFonts w:hint="eastAsia" w:ascii="仿宋_GB2312" w:hAnsi="仿宋_GB2312" w:eastAsia="仿宋_GB2312" w:cs="仿宋_GB2312"/>
          <w:color w:val="auto"/>
          <w:sz w:val="32"/>
          <w:szCs w:val="32"/>
          <w:highlight w:val="none"/>
        </w:rPr>
        <w:t>值和斜率值，说明仪器已完成二点标定。</w:t>
      </w:r>
    </w:p>
    <w:p w14:paraId="53667561">
      <w:pPr>
        <w:topLinePunct/>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此时，pH、mV键均有效。如按下其中某一键，则仪器进入相应的工作状态。 </w:t>
      </w:r>
    </w:p>
    <w:p w14:paraId="0F154360">
      <w:pPr>
        <w:topLinePunct/>
        <w:snapToGrid w:val="0"/>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注</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color w:val="auto"/>
          <w:sz w:val="32"/>
          <w:szCs w:val="32"/>
          <w:highlight w:val="none"/>
        </w:rPr>
        <w:t>仪器经过标定后得到的参数值关机后不会丢失。</w:t>
      </w:r>
    </w:p>
    <w:p w14:paraId="64C5DA9B">
      <w:pPr>
        <w:topLinePunct/>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5 pH值测量</w:t>
      </w:r>
    </w:p>
    <w:p w14:paraId="55FEF1E4">
      <w:pPr>
        <w:topLinePunct/>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开机，如用户不需对pH复合电极进行校准，则仪器自动进入pH设置的测量方式工作状态，仪器显示当前溶液的pH值、温度值以及电极的百分斜率。若需对pH电极进行标定，则可按本节中“电极标定”进行操作，然后再按“pH”键，仪器进入pH设置的测量方式工作状态。</w:t>
      </w:r>
    </w:p>
    <w:p w14:paraId="185856FF">
      <w:pPr>
        <w:topLinePunct/>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若pH设置连续测量工作状态，则仪器进行连续采样测量。</w:t>
      </w:r>
    </w:p>
    <w:p w14:paraId="21983ABB">
      <w:pPr>
        <w:topLinePunct/>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若pH设置定时测量工作状态，当仪器连续测量的时间到达设置定时时间，“定时测量”光标不停闪烁，则仪器停止采样测量并保持当前测量数据。此时，按其他功能键后，再按“pH”键仪器重新计时测量。</w:t>
      </w:r>
    </w:p>
    <w:p w14:paraId="601A1D38">
      <w:pPr>
        <w:topLinePunct/>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若pH设置平衡测量工作状态，当仪器连续测量的电位值到达设置电位值，“平衡测量”光标不停闪烁，则仪器停止采样测量并保持当前测量数据。此时，按其他功能键后，再按“pH”键仪器重新测量。</w:t>
      </w:r>
    </w:p>
    <w:p w14:paraId="639E5955">
      <w:pPr>
        <w:topLinePunct/>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注：当仪器显示屏左下角显示Err 1时，说明斜率值超出（85%～110%）</w:t>
      </w:r>
    </w:p>
    <w:p w14:paraId="4553F3F4">
      <w:pPr>
        <w:topLinePunct/>
        <w:spacing w:line="360" w:lineRule="auto"/>
        <w:ind w:firstLine="64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当仪器显示屏左下角显示Err 2 时，说明E</w:t>
      </w:r>
      <w:r>
        <w:rPr>
          <w:rFonts w:hint="eastAsia" w:ascii="仿宋_GB2312" w:hAnsi="仿宋_GB2312" w:eastAsia="仿宋_GB2312" w:cs="仿宋_GB2312"/>
          <w:b/>
          <w:color w:val="auto"/>
          <w:sz w:val="32"/>
          <w:szCs w:val="32"/>
          <w:highlight w:val="none"/>
          <w:vertAlign w:val="subscript"/>
        </w:rPr>
        <w:t>0</w:t>
      </w:r>
      <w:r>
        <w:rPr>
          <w:rFonts w:hint="eastAsia" w:ascii="仿宋_GB2312" w:hAnsi="仿宋_GB2312" w:eastAsia="仿宋_GB2312" w:cs="仿宋_GB2312"/>
          <w:b/>
          <w:color w:val="auto"/>
          <w:sz w:val="32"/>
          <w:szCs w:val="32"/>
          <w:highlight w:val="none"/>
        </w:rPr>
        <w:t>值超出（</w:t>
      </w:r>
      <w:r>
        <w:rPr>
          <w:rFonts w:hint="eastAsia" w:ascii="仿宋_GB2312" w:hAnsi="仿宋_GB2312" w:eastAsia="仿宋_GB2312" w:cs="仿宋_GB2312"/>
          <w:b/>
          <w:color w:val="auto"/>
          <w:sz w:val="32"/>
          <w:szCs w:val="32"/>
          <w:highlight w:val="none"/>
        </w:rPr>
        <w:sym w:font="Symbol" w:char="F0B1"/>
      </w:r>
      <w:r>
        <w:rPr>
          <w:rFonts w:hint="eastAsia" w:ascii="仿宋_GB2312" w:hAnsi="仿宋_GB2312" w:eastAsia="仿宋_GB2312" w:cs="仿宋_GB2312"/>
          <w:b/>
          <w:color w:val="auto"/>
          <w:sz w:val="32"/>
          <w:szCs w:val="32"/>
          <w:highlight w:val="none"/>
        </w:rPr>
        <w:t>0.01pH）</w:t>
      </w:r>
    </w:p>
    <w:p w14:paraId="6EC57CD9">
      <w:pPr>
        <w:topLinePunct/>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当仪器显示屏左下角显示Note 1 时，说明超出设定标定间隔时间</w:t>
      </w:r>
    </w:p>
    <w:p w14:paraId="71A87384">
      <w:pPr>
        <w:topLinePunct/>
        <w:snapToGrid w:val="0"/>
        <w:spacing w:line="360" w:lineRule="auto"/>
        <w:outlineLvl w:val="1"/>
        <w:rPr>
          <w:rFonts w:hint="eastAsia" w:ascii="仿宋_GB2312" w:hAnsi="仿宋_GB2312" w:eastAsia="仿宋_GB2312" w:cs="仿宋_GB2312"/>
          <w:color w:val="auto"/>
          <w:sz w:val="32"/>
          <w:szCs w:val="32"/>
          <w:highlight w:val="none"/>
        </w:rPr>
      </w:pPr>
      <w:bookmarkStart w:id="131" w:name="_Toc7325"/>
      <w:bookmarkStart w:id="132" w:name="_Toc13692"/>
      <w:bookmarkStart w:id="133" w:name="_Toc2728"/>
      <w:r>
        <w:rPr>
          <w:rFonts w:hint="eastAsia" w:ascii="仿宋_GB2312" w:hAnsi="仿宋_GB2312" w:eastAsia="仿宋_GB2312" w:cs="仿宋_GB2312"/>
          <w:b/>
          <w:color w:val="auto"/>
          <w:sz w:val="32"/>
          <w:szCs w:val="32"/>
          <w:highlight w:val="none"/>
        </w:rPr>
        <w:t>6 电极电位(mV)值测量</w:t>
      </w:r>
      <w:bookmarkEnd w:id="131"/>
      <w:bookmarkEnd w:id="132"/>
      <w:bookmarkEnd w:id="133"/>
    </w:p>
    <w:p w14:paraId="6148BA38">
      <w:pPr>
        <w:topLinePunct/>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不论仪器处于何种工作状态，按“mV”键，仪器即进入mV设置的测量方式工作状态，此时仪器显示当前的电极电位(mV)值和温度值。其测量方式工作状态的功能与pH相同。</w:t>
      </w:r>
    </w:p>
    <w:p w14:paraId="181BD291">
      <w:pPr>
        <w:topLinePunct/>
        <w:snapToGrid w:val="0"/>
        <w:spacing w:line="360" w:lineRule="auto"/>
        <w:outlineLvl w:val="1"/>
        <w:rPr>
          <w:rFonts w:hint="eastAsia" w:ascii="仿宋_GB2312" w:hAnsi="仿宋_GB2312" w:eastAsia="仿宋_GB2312" w:cs="仿宋_GB2312"/>
          <w:b/>
          <w:color w:val="auto"/>
          <w:sz w:val="32"/>
          <w:szCs w:val="32"/>
          <w:highlight w:val="none"/>
        </w:rPr>
      </w:pPr>
      <w:bookmarkStart w:id="134" w:name="_Toc11847"/>
      <w:bookmarkStart w:id="135" w:name="_Toc8584"/>
      <w:bookmarkStart w:id="136" w:name="_Toc11818"/>
      <w:r>
        <w:rPr>
          <w:rFonts w:hint="eastAsia" w:ascii="仿宋_GB2312" w:hAnsi="仿宋_GB2312" w:eastAsia="仿宋_GB2312" w:cs="仿宋_GB2312"/>
          <w:b/>
          <w:color w:val="auto"/>
          <w:sz w:val="32"/>
          <w:szCs w:val="32"/>
          <w:highlight w:val="none"/>
        </w:rPr>
        <w:t>7 温度测量</w:t>
      </w:r>
      <w:bookmarkEnd w:id="134"/>
      <w:bookmarkEnd w:id="135"/>
      <w:bookmarkEnd w:id="136"/>
    </w:p>
    <w:p w14:paraId="01B8C031">
      <w:pPr>
        <w:spacing w:line="360" w:lineRule="auto"/>
        <w:rPr>
          <w:rFonts w:hint="eastAsia" w:ascii="仿宋_GB2312" w:hAnsi="仿宋_GB2312" w:eastAsia="仿宋_GB2312" w:cs="仿宋_GB2312"/>
          <w:color w:val="auto"/>
          <w:sz w:val="32"/>
          <w:szCs w:val="32"/>
          <w:highlight w:val="none"/>
        </w:rPr>
        <w:sectPr>
          <w:pgSz w:w="11906" w:h="16838"/>
          <w:pgMar w:top="2098" w:right="1531" w:bottom="1814" w:left="1531" w:header="851" w:footer="1587" w:gutter="0"/>
          <w:pgNumType w:fmt="numberInDash"/>
          <w:cols w:space="0" w:num="1"/>
          <w:docGrid w:type="linesAndChars" w:linePitch="319" w:charSpace="0"/>
        </w:sectPr>
      </w:pPr>
      <w:r>
        <w:rPr>
          <w:rFonts w:hint="eastAsia" w:ascii="仿宋_GB2312" w:hAnsi="仿宋_GB2312" w:eastAsia="仿宋_GB2312" w:cs="仿宋_GB2312"/>
          <w:color w:val="auto"/>
          <w:sz w:val="32"/>
          <w:szCs w:val="32"/>
          <w:highlight w:val="none"/>
        </w:rPr>
        <w:t xml:space="preserve">    当仪器处于“pH”或“mV”测量工作状态时，仪器接入温度传感器时，仪器显示为测得溶液的温度值“XX.X℃（ATC）。仪器不接入温度传感器时，仪器显示设置手动温度值“XX.X℃（MTC）。</w:t>
      </w:r>
    </w:p>
    <w:p w14:paraId="68BF2A09">
      <w:pPr>
        <w:pStyle w:val="4"/>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textAlignment w:val="auto"/>
        <w:rPr>
          <w:rFonts w:hint="eastAsia" w:ascii="黑体" w:hAnsi="黑体" w:eastAsia="黑体" w:cs="黑体"/>
          <w:b w:val="0"/>
          <w:bCs/>
          <w:color w:val="auto"/>
          <w:sz w:val="32"/>
          <w:szCs w:val="32"/>
          <w:highlight w:val="none"/>
        </w:rPr>
      </w:pPr>
      <w:bookmarkStart w:id="137" w:name="_Toc4524"/>
      <w:r>
        <w:rPr>
          <w:rFonts w:hint="eastAsia" w:ascii="黑体" w:hAnsi="黑体" w:eastAsia="黑体" w:cs="黑体"/>
          <w:b w:val="0"/>
          <w:bCs/>
          <w:color w:val="auto"/>
          <w:sz w:val="32"/>
          <w:szCs w:val="32"/>
          <w:highlight w:val="none"/>
        </w:rPr>
        <w:t xml:space="preserve">附件4 </w:t>
      </w:r>
      <w:bookmarkStart w:id="138" w:name="_Toc2084668"/>
      <w:r>
        <w:rPr>
          <w:rFonts w:hint="eastAsia" w:ascii="黑体" w:hAnsi="黑体" w:eastAsia="黑体" w:cs="黑体"/>
          <w:b w:val="0"/>
          <w:bCs/>
          <w:color w:val="auto"/>
          <w:sz w:val="32"/>
          <w:szCs w:val="32"/>
          <w:highlight w:val="none"/>
        </w:rPr>
        <w:t>双光束紫外可见分光光度计操作规程</w:t>
      </w:r>
      <w:bookmarkEnd w:id="137"/>
      <w:bookmarkEnd w:id="138"/>
    </w:p>
    <w:p w14:paraId="60C5767F">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1"/>
        <w:rPr>
          <w:rFonts w:hint="eastAsia" w:ascii="仿宋_GB2312" w:hAnsi="仿宋_GB2312" w:eastAsia="仿宋_GB2312" w:cs="仿宋_GB2312"/>
          <w:color w:val="auto"/>
          <w:sz w:val="32"/>
          <w:szCs w:val="32"/>
          <w:highlight w:val="none"/>
        </w:rPr>
      </w:pPr>
      <w:bookmarkStart w:id="139" w:name="_Toc26093"/>
      <w:bookmarkStart w:id="140" w:name="_Toc18976"/>
      <w:bookmarkStart w:id="141" w:name="_Toc8514"/>
      <w:r>
        <w:rPr>
          <w:rFonts w:hint="eastAsia" w:ascii="仿宋_GB2312" w:hAnsi="仿宋_GB2312" w:eastAsia="仿宋_GB2312" w:cs="仿宋_GB2312"/>
          <w:color w:val="auto"/>
          <w:sz w:val="32"/>
          <w:szCs w:val="32"/>
          <w:highlight w:val="none"/>
        </w:rPr>
        <w:t>1.开机</w:t>
      </w:r>
      <w:bookmarkEnd w:id="139"/>
      <w:bookmarkEnd w:id="140"/>
      <w:bookmarkEnd w:id="141"/>
    </w:p>
    <w:p w14:paraId="0C7D966C">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 依次打开打印机、计算机，Window</w:t>
      </w:r>
      <w:r>
        <w:rPr>
          <w:rFonts w:hint="eastAsia" w:ascii="仿宋_GB2312" w:hAnsi="仿宋_GB2312" w:eastAsia="仿宋_GB2312" w:cs="仿宋_GB2312"/>
          <w:color w:val="auto"/>
          <w:sz w:val="32"/>
          <w:szCs w:val="32"/>
          <w:highlight w:val="none"/>
          <w:lang w:val="en-US" w:eastAsia="zh-CN"/>
        </w:rPr>
        <w:t>s</w:t>
      </w:r>
      <w:r>
        <w:rPr>
          <w:rFonts w:hint="eastAsia" w:ascii="仿宋_GB2312" w:hAnsi="仿宋_GB2312" w:eastAsia="仿宋_GB2312" w:cs="仿宋_GB2312"/>
          <w:color w:val="auto"/>
          <w:sz w:val="32"/>
          <w:szCs w:val="32"/>
          <w:highlight w:val="none"/>
        </w:rPr>
        <w:t xml:space="preserve">完全启动后，打开主机电源。     </w:t>
      </w:r>
    </w:p>
    <w:p w14:paraId="7DE5897B">
      <w:pPr>
        <w:keepNext w:val="0"/>
        <w:keepLines w:val="0"/>
        <w:pageBreakBefore w:val="0"/>
        <w:widowControl w:val="0"/>
        <w:tabs>
          <w:tab w:val="center" w:pos="4989"/>
        </w:tabs>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2.仪器初始化</w:t>
      </w:r>
      <w:r>
        <w:rPr>
          <w:rFonts w:hint="eastAsia" w:ascii="仿宋_GB2312" w:hAnsi="仿宋_GB2312" w:eastAsia="仿宋_GB2312" w:cs="仿宋_GB2312"/>
          <w:color w:val="auto"/>
          <w:sz w:val="32"/>
          <w:szCs w:val="32"/>
          <w:highlight w:val="none"/>
        </w:rPr>
        <w:tab/>
      </w:r>
    </w:p>
    <w:p w14:paraId="5EE73523">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2．1在计算机窗口上双击</w:t>
      </w:r>
      <w:r>
        <w:rPr>
          <w:rFonts w:hint="eastAsia" w:ascii="仿宋_GB2312" w:hAnsi="仿宋_GB2312" w:eastAsia="仿宋_GB2312" w:cs="仿宋_GB2312"/>
          <w:color w:val="auto"/>
          <w:sz w:val="32"/>
          <w:szCs w:val="32"/>
          <w:highlight w:val="none"/>
        </w:rPr>
        <w:object>
          <v:shape id="_x0000_i1025" o:spt="75" type="#_x0000_t75" style="height:24pt;width:24pt;" o:ole="t" filled="f" o:preferrelative="t" stroked="f" coordsize="21600,21600">
            <v:path/>
            <v:fill on="f" focussize="0,0"/>
            <v:stroke on="f"/>
            <v:imagedata r:id="rId18" o:title=""/>
            <o:lock v:ext="edit" aspectratio="t"/>
            <w10:wrap type="none"/>
            <w10:anchorlock/>
          </v:shape>
          <o:OLEObject Type="Embed" ProgID="PBrush" ShapeID="_x0000_i1025" DrawAspect="Content" ObjectID="_1468075725" r:id="rId17">
            <o:LockedField>false</o:LockedField>
          </o:OLEObject>
        </w:object>
      </w:r>
      <w:r>
        <w:rPr>
          <w:rFonts w:hint="eastAsia" w:ascii="仿宋_GB2312" w:hAnsi="仿宋_GB2312" w:eastAsia="仿宋_GB2312" w:cs="仿宋_GB2312"/>
          <w:color w:val="auto"/>
          <w:sz w:val="32"/>
          <w:szCs w:val="32"/>
          <w:highlight w:val="none"/>
        </w:rPr>
        <w:t>图标，仪器进行自检,大约需要四分钟。如果自检各项都</w:t>
      </w:r>
      <w:r>
        <w:rPr>
          <w:rFonts w:hint="eastAsia" w:ascii="仿宋_GB2312" w:hAnsi="仿宋_GB2312" w:eastAsia="仿宋_GB2312" w:cs="仿宋_GB2312"/>
          <w:color w:val="auto"/>
          <w:sz w:val="32"/>
          <w:szCs w:val="32"/>
          <w:highlight w:val="none"/>
        </w:rPr>
        <w:object>
          <v:shape id="_x0000_i1026" o:spt="75" type="#_x0000_t75" style="height:13.5pt;width:50.25pt;" o:ole="t" filled="f" o:preferrelative="t" stroked="f" coordsize="21600,21600">
            <v:path/>
            <v:fill on="f" focussize="0,0"/>
            <v:stroke on="f" joinstyle="miter"/>
            <v:imagedata r:id="rId20" o:title=""/>
            <o:lock v:ext="edit" aspectratio="t"/>
            <w10:wrap type="none"/>
            <w10:anchorlock/>
          </v:shape>
          <o:OLEObject Type="Embed" ProgID="PBrush" ShapeID="_x0000_i1026" DrawAspect="Content" ObjectID="_1468075726" r:id="rId19">
            <o:LockedField>false</o:LockedField>
          </o:OLEObject>
        </w:object>
      </w:r>
      <w:r>
        <w:rPr>
          <w:rFonts w:hint="eastAsia" w:ascii="仿宋_GB2312" w:hAnsi="仿宋_GB2312" w:eastAsia="仿宋_GB2312" w:cs="仿宋_GB2312"/>
          <w:color w:val="auto"/>
          <w:sz w:val="32"/>
          <w:szCs w:val="32"/>
          <w:highlight w:val="none"/>
        </w:rPr>
        <w:t>，进入工作界面，预热半小时后，便可任意进入以下操作。</w:t>
      </w:r>
    </w:p>
    <w:p w14:paraId="3B07EBFC">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mc:AlternateContent>
          <mc:Choice Requires="wps">
            <w:drawing>
              <wp:anchor distT="0" distB="0" distL="114300" distR="114300" simplePos="0" relativeHeight="251663360" behindDoc="0" locked="0" layoutInCell="0" allowOverlap="1">
                <wp:simplePos x="0" y="0"/>
                <wp:positionH relativeFrom="column">
                  <wp:posOffset>114300</wp:posOffset>
                </wp:positionH>
                <wp:positionV relativeFrom="paragraph">
                  <wp:posOffset>99060</wp:posOffset>
                </wp:positionV>
                <wp:extent cx="114935" cy="198120"/>
                <wp:effectExtent l="0" t="0" r="0" b="0"/>
                <wp:wrapNone/>
                <wp:docPr id="12" name="矩形 12"/>
                <wp:cNvGraphicFramePr/>
                <a:graphic xmlns:a="http://schemas.openxmlformats.org/drawingml/2006/main">
                  <a:graphicData uri="http://schemas.microsoft.com/office/word/2010/wordprocessingShape">
                    <wps:wsp>
                      <wps:cNvSpPr>
                        <a:spLocks noChangeArrowheads="1"/>
                      </wps:cNvSpPr>
                      <wps:spPr bwMode="auto">
                        <a:xfrm flipH="1" flipV="1">
                          <a:off x="0" y="0"/>
                          <a:ext cx="114935" cy="198120"/>
                        </a:xfrm>
                        <a:prstGeom prst="rect">
                          <a:avLst/>
                        </a:prstGeom>
                        <a:noFill/>
                        <a:ln>
                          <a:noFill/>
                        </a:ln>
                      </wps:spPr>
                      <wps:txbx>
                        <w:txbxContent>
                          <w:p w14:paraId="4E75A7D0"/>
                        </w:txbxContent>
                      </wps:txbx>
                      <wps:bodyPr rot="0" vert="horz" wrap="square" lIns="0" tIns="0" rIns="0" bIns="0" anchor="t" anchorCtr="0">
                        <a:noAutofit/>
                      </wps:bodyPr>
                    </wps:wsp>
                  </a:graphicData>
                </a:graphic>
              </wp:anchor>
            </w:drawing>
          </mc:Choice>
          <mc:Fallback>
            <w:pict>
              <v:rect id="_x0000_s1026" o:spid="_x0000_s1026" o:spt="1" style="position:absolute;left:0pt;flip:x y;margin-left:9pt;margin-top:7.8pt;height:15.6pt;width:9.05pt;z-index:251663360;mso-width-relative:page;mso-height-relative:page;" filled="f" stroked="f" coordsize="21600,21600" o:allowincell="f" o:gfxdata="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VZuM0gAAAAcBAAAPAAAAAAAAAAEAIAAAACIAAABkcnMvZG93&#10;bnJldi54bWxQSwECFAAUAAAACACHTuJA7sZcfwYCAAABBAAADgAAAAAAAAABACAAAAAhAQAAZHJz&#10;L2Uyb0RvYy54bWxQSwUGAAAAAAYABgBZAQAAmQUAAAAA&#10;">
                <v:fill on="f" focussize="0,0"/>
                <v:stroke on="f"/>
                <v:imagedata o:title=""/>
                <o:lock v:ext="edit" aspectratio="f"/>
                <v:textbox inset="0mm,0mm,0mm,0mm">
                  <w:txbxContent>
                    <w:p w14:paraId="4E75A7D0"/>
                  </w:txbxContent>
                </v:textbox>
              </v:rect>
            </w:pict>
          </mc:Fallback>
        </mc:AlternateContent>
      </w:r>
      <w:r>
        <w:rPr>
          <w:rFonts w:hint="eastAsia" w:ascii="仿宋_GB2312" w:hAnsi="仿宋_GB2312" w:eastAsia="仿宋_GB2312" w:cs="仿宋_GB2312"/>
          <w:color w:val="auto"/>
          <w:sz w:val="32"/>
          <w:szCs w:val="32"/>
          <w:highlight w:val="none"/>
        </w:rPr>
        <w:t>3.光度测量</w:t>
      </w:r>
    </w:p>
    <w:p w14:paraId="142B3CA7">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3．1  参数设置</w:t>
      </w:r>
    </w:p>
    <w:p w14:paraId="5A08BCB9">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单击</w:t>
      </w:r>
      <w:r>
        <w:rPr>
          <w:rFonts w:hint="eastAsia" w:ascii="仿宋_GB2312" w:hAnsi="仿宋_GB2312" w:eastAsia="仿宋_GB2312" w:cs="仿宋_GB2312"/>
          <w:color w:val="auto"/>
          <w:sz w:val="32"/>
          <w:szCs w:val="32"/>
          <w:highlight w:val="none"/>
        </w:rPr>
        <w:object>
          <v:shape id="_x0000_i1027" o:spt="75" type="#_x0000_t75" style="height:17pt;width:18pt;" o:ole="t" filled="f" o:preferrelative="t" stroked="f" coordsize="21600,21600">
            <v:path/>
            <v:fill on="f" focussize="0,0"/>
            <v:stroke on="f"/>
            <v:imagedata r:id="rId22" o:title=""/>
            <o:lock v:ext="edit" aspectratio="f"/>
            <w10:wrap type="none"/>
            <w10:anchorlock/>
          </v:shape>
          <o:OLEObject Type="Embed" ProgID="PBrush" ShapeID="_x0000_i1027" DrawAspect="Content" ObjectID="_1468075727" r:id="rId21">
            <o:LockedField>false</o:LockedField>
          </o:OLEObject>
        </w:object>
      </w:r>
      <w:r>
        <w:rPr>
          <w:rFonts w:hint="eastAsia" w:ascii="仿宋_GB2312" w:hAnsi="仿宋_GB2312" w:eastAsia="仿宋_GB2312" w:cs="仿宋_GB2312"/>
          <w:color w:val="auto"/>
          <w:sz w:val="32"/>
          <w:szCs w:val="32"/>
          <w:highlight w:val="none"/>
        </w:rPr>
        <w:t>按钮，进入光度测量。单击</w:t>
      </w:r>
      <w:r>
        <w:rPr>
          <w:rFonts w:hint="eastAsia" w:ascii="仿宋_GB2312" w:hAnsi="仿宋_GB2312" w:eastAsia="仿宋_GB2312" w:cs="仿宋_GB2312"/>
          <w:color w:val="auto"/>
          <w:sz w:val="32"/>
          <w:szCs w:val="32"/>
          <w:highlight w:val="none"/>
        </w:rPr>
        <w:object>
          <v:shape id="_x0000_i1028" o:spt="75" type="#_x0000_t75" style="height:17.7pt;width:17pt;" o:ole="t" filled="f" o:preferrelative="t" stroked="f" coordsize="21600,21600">
            <v:path/>
            <v:fill on="f" focussize="0,0"/>
            <v:stroke on="f"/>
            <v:imagedata r:id="rId24" o:title=""/>
            <o:lock v:ext="edit" aspectratio="t"/>
            <w10:wrap type="none"/>
            <w10:anchorlock/>
          </v:shape>
          <o:OLEObject Type="Embed" ProgID="PBrush" ShapeID="_x0000_i1028" DrawAspect="Content" ObjectID="_1468075728" r:id="rId23">
            <o:LockedField>false</o:LockedField>
          </o:OLEObject>
        </w:object>
      </w:r>
      <w:r>
        <w:rPr>
          <w:rFonts w:hint="eastAsia" w:ascii="仿宋_GB2312" w:hAnsi="仿宋_GB2312" w:eastAsia="仿宋_GB2312" w:cs="仿宋_GB2312"/>
          <w:color w:val="auto"/>
          <w:sz w:val="32"/>
          <w:szCs w:val="32"/>
          <w:highlight w:val="none"/>
        </w:rPr>
        <w:t>，设置光度测量参数，具体输入：1是波长数；2是相应波长值（从长波到短波）；3是测光方式（一般为Abs或T%）；4是重复测量次数，是否取平均值，单击确认键退出设置参数。</w:t>
      </w:r>
    </w:p>
    <w:p w14:paraId="52942127">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3．2 校零</w:t>
      </w:r>
    </w:p>
    <w:p w14:paraId="54961FBF">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单击</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drawing>
          <wp:inline distT="0" distB="0" distL="0" distR="0">
            <wp:extent cx="457200" cy="16065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7200" cy="160655"/>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 xml:space="preserve">,在一号样品池中放入参比溶液，单击 </w:t>
      </w:r>
      <w:r>
        <w:rPr>
          <w:rFonts w:hint="eastAsia" w:ascii="仿宋_GB2312" w:hAnsi="仿宋_GB2312" w:eastAsia="仿宋_GB2312" w:cs="仿宋_GB2312"/>
          <w:color w:val="auto"/>
          <w:sz w:val="32"/>
          <w:szCs w:val="32"/>
          <w:highlight w:val="none"/>
        </w:rPr>
        <w:drawing>
          <wp:inline distT="0" distB="0" distL="114300" distR="114300">
            <wp:extent cx="638175" cy="171450"/>
            <wp:effectExtent l="0" t="0" r="9525"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0"/>
                    <a:stretch>
                      <a:fillRect/>
                    </a:stretch>
                  </pic:blipFill>
                  <pic:spPr>
                    <a:xfrm>
                      <a:off x="0" y="0"/>
                      <a:ext cx="638175" cy="171450"/>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w:t>
      </w:r>
    </w:p>
    <w:p w14:paraId="4EDD29F0">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3．3 测量</w:t>
      </w:r>
    </w:p>
    <w:p w14:paraId="25023CE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在二号放入样品溶液，单击</w:t>
      </w:r>
      <w:r>
        <w:rPr>
          <w:rFonts w:hint="eastAsia" w:ascii="仿宋_GB2312" w:hAnsi="仿宋_GB2312" w:eastAsia="仿宋_GB2312" w:cs="仿宋_GB2312"/>
          <w:color w:val="auto"/>
          <w:sz w:val="32"/>
          <w:szCs w:val="32"/>
          <w:highlight w:val="none"/>
        </w:rPr>
        <w:drawing>
          <wp:inline distT="0" distB="0" distL="114300" distR="114300">
            <wp:extent cx="514350" cy="2381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4350" cy="238125"/>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；即可测出样品的Abs值。</w:t>
      </w:r>
    </w:p>
    <w:p w14:paraId="1473FD5D">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1"/>
        <w:rPr>
          <w:rFonts w:hint="eastAsia" w:ascii="仿宋_GB2312" w:hAnsi="仿宋_GB2312" w:eastAsia="仿宋_GB2312" w:cs="仿宋_GB2312"/>
          <w:color w:val="auto"/>
          <w:sz w:val="32"/>
          <w:szCs w:val="32"/>
          <w:highlight w:val="none"/>
        </w:rPr>
      </w:pPr>
      <w:bookmarkStart w:id="142" w:name="_Toc31843"/>
      <w:bookmarkStart w:id="143" w:name="_Toc10208"/>
      <w:bookmarkStart w:id="144" w:name="_Toc2226"/>
      <w:r>
        <w:rPr>
          <w:rFonts w:hint="eastAsia" w:ascii="仿宋_GB2312" w:hAnsi="仿宋_GB2312" w:eastAsia="仿宋_GB2312" w:cs="仿宋_GB2312"/>
          <w:color w:val="auto"/>
          <w:sz w:val="32"/>
          <w:szCs w:val="32"/>
          <w:highlight w:val="none"/>
        </w:rPr>
        <w:t>4.光谱扫描</w:t>
      </w:r>
      <w:bookmarkEnd w:id="142"/>
      <w:bookmarkEnd w:id="143"/>
      <w:bookmarkEnd w:id="144"/>
    </w:p>
    <w:p w14:paraId="26433648">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4．1 参数设置</w:t>
      </w:r>
    </w:p>
    <w:p w14:paraId="1322D195">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单击</w:t>
      </w:r>
      <w:r>
        <w:rPr>
          <w:rFonts w:hint="eastAsia" w:ascii="仿宋_GB2312" w:hAnsi="仿宋_GB2312" w:eastAsia="仿宋_GB2312" w:cs="仿宋_GB2312"/>
          <w:color w:val="auto"/>
          <w:sz w:val="32"/>
          <w:szCs w:val="32"/>
          <w:highlight w:val="none"/>
        </w:rPr>
        <w:object>
          <v:shape id="_x0000_i1029" o:spt="75" type="#_x0000_t75" style="height:17pt;width:17pt;" o:ole="t" filled="f" o:preferrelative="t" stroked="f" coordsize="21600,21600">
            <v:path/>
            <v:fill on="f" focussize="0,0"/>
            <v:stroke on="f"/>
            <v:imagedata r:id="rId28" o:title=""/>
            <o:lock v:ext="edit" aspectratio="t"/>
            <w10:wrap type="none"/>
            <w10:anchorlock/>
          </v:shape>
          <o:OLEObject Type="Embed" ProgID="PBrush" ShapeID="_x0000_i1029" DrawAspect="Content" ObjectID="_1468075729" r:id="rId27">
            <o:LockedField>false</o:LockedField>
          </o:OLEObject>
        </w:object>
      </w:r>
      <w:r>
        <w:rPr>
          <w:rFonts w:hint="eastAsia" w:ascii="仿宋_GB2312" w:hAnsi="仿宋_GB2312" w:eastAsia="仿宋_GB2312" w:cs="仿宋_GB2312"/>
          <w:color w:val="auto"/>
          <w:sz w:val="32"/>
          <w:szCs w:val="32"/>
          <w:highlight w:val="none"/>
        </w:rPr>
        <w:t>，进入光谱扫描。单击</w:t>
      </w:r>
      <w:r>
        <w:rPr>
          <w:rFonts w:hint="eastAsia" w:ascii="仿宋_GB2312" w:hAnsi="仿宋_GB2312" w:eastAsia="仿宋_GB2312" w:cs="仿宋_GB2312"/>
          <w:color w:val="auto"/>
          <w:sz w:val="32"/>
          <w:szCs w:val="32"/>
          <w:highlight w:val="none"/>
        </w:rPr>
        <w:object>
          <v:shape id="_x0000_i1030" o:spt="75" type="#_x0000_t75" style="height:14.75pt;width:14.15pt;" o:ole="t" filled="f" o:preferrelative="t" stroked="f" coordsize="21600,21600">
            <v:path/>
            <v:fill on="f" focussize="0,0"/>
            <v:stroke on="f"/>
            <v:imagedata r:id="rId24" o:title=""/>
            <o:lock v:ext="edit" aspectratio="t"/>
            <w10:wrap type="none"/>
            <w10:anchorlock/>
          </v:shape>
          <o:OLEObject Type="Embed" ProgID="PBrush" ShapeID="_x0000_i1030" DrawAspect="Content" ObjectID="_1468075730" r:id="rId29">
            <o:LockedField>false</o:LockedField>
          </o:OLEObject>
        </w:object>
      </w:r>
      <w:r>
        <w:rPr>
          <w:rFonts w:hint="eastAsia" w:ascii="仿宋_GB2312" w:hAnsi="仿宋_GB2312" w:eastAsia="仿宋_GB2312" w:cs="仿宋_GB2312"/>
          <w:color w:val="auto"/>
          <w:sz w:val="32"/>
          <w:szCs w:val="32"/>
          <w:highlight w:val="none"/>
        </w:rPr>
        <w:t xml:space="preserve">，设置光谱扫描参数，1是波长范围（先输长波再输短波）；2是测光方式（一般为Abs或T%）；3是扫描速度（一般为中速）；4是采样间隔（一般为1nm或0.5nm）；5是记录范围（一般为0--1）。单击 </w:t>
      </w:r>
      <w:r>
        <w:rPr>
          <w:rFonts w:hint="eastAsia" w:ascii="仿宋_GB2312" w:hAnsi="仿宋_GB2312" w:eastAsia="仿宋_GB2312" w:cs="仿宋_GB2312"/>
          <w:color w:val="auto"/>
          <w:sz w:val="32"/>
          <w:szCs w:val="32"/>
          <w:highlight w:val="none"/>
        </w:rPr>
        <w:object>
          <v:shape id="_x0000_i1031" o:spt="75" type="#_x0000_t75" style="height:13.5pt;width:50.25pt;" o:ole="t" filled="f" o:preferrelative="t" stroked="f" coordsize="21600,21600">
            <v:path/>
            <v:fill on="f" focussize="0,0"/>
            <v:stroke on="f" joinstyle="miter"/>
            <v:imagedata r:id="rId20" o:title=""/>
            <o:lock v:ext="edit" aspectratio="t"/>
            <w10:wrap type="none"/>
            <w10:anchorlock/>
          </v:shape>
          <o:OLEObject Type="Embed" ProgID="PBrush" ShapeID="_x0000_i1031" DrawAspect="Content" ObjectID="_1468075731" r:id="rId30">
            <o:LockedField>false</o:LockedField>
          </o:OLEObject>
        </w:object>
      </w:r>
      <w:r>
        <w:rPr>
          <w:rFonts w:hint="eastAsia" w:ascii="仿宋_GB2312" w:hAnsi="仿宋_GB2312" w:eastAsia="仿宋_GB2312" w:cs="仿宋_GB2312"/>
          <w:color w:val="auto"/>
          <w:sz w:val="32"/>
          <w:szCs w:val="32"/>
          <w:highlight w:val="none"/>
        </w:rPr>
        <w:t xml:space="preserve"> 退出参数设置。</w:t>
      </w:r>
    </w:p>
    <w:p w14:paraId="5A312604">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4．2 基线校正</w:t>
      </w:r>
    </w:p>
    <w:p w14:paraId="44C0E54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单击</w:t>
      </w:r>
      <w:r>
        <w:rPr>
          <w:rFonts w:hint="eastAsia" w:ascii="仿宋_GB2312" w:hAnsi="仿宋_GB2312" w:eastAsia="仿宋_GB2312" w:cs="仿宋_GB2312"/>
          <w:color w:val="auto"/>
          <w:sz w:val="32"/>
          <w:szCs w:val="32"/>
          <w:highlight w:val="none"/>
        </w:rPr>
        <w:drawing>
          <wp:inline distT="0" distB="0" distL="114300" distR="114300">
            <wp:extent cx="485775" cy="1714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85775" cy="171450"/>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 xml:space="preserve">，在一号样品池中放入参比溶液,单击 </w:t>
      </w:r>
      <w:r>
        <w:rPr>
          <w:rFonts w:hint="eastAsia" w:ascii="仿宋_GB2312" w:hAnsi="仿宋_GB2312" w:eastAsia="仿宋_GB2312" w:cs="仿宋_GB2312"/>
          <w:color w:val="auto"/>
          <w:sz w:val="32"/>
          <w:szCs w:val="32"/>
          <w:highlight w:val="none"/>
        </w:rPr>
        <w:drawing>
          <wp:inline distT="0" distB="0" distL="114300" distR="114300">
            <wp:extent cx="638175" cy="171450"/>
            <wp:effectExtent l="0" t="0" r="9525"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0"/>
                    <a:stretch>
                      <a:fillRect/>
                    </a:stretch>
                  </pic:blipFill>
                  <pic:spPr>
                    <a:xfrm>
                      <a:off x="0" y="0"/>
                      <a:ext cx="638175" cy="171450"/>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 xml:space="preserve">，校完后单击 </w:t>
      </w:r>
      <w:r>
        <w:rPr>
          <w:rFonts w:hint="eastAsia" w:ascii="仿宋_GB2312" w:hAnsi="仿宋_GB2312" w:eastAsia="仿宋_GB2312" w:cs="仿宋_GB2312"/>
          <w:color w:val="auto"/>
          <w:sz w:val="32"/>
          <w:szCs w:val="32"/>
          <w:highlight w:val="none"/>
        </w:rPr>
        <w:drawing>
          <wp:inline distT="0" distB="0" distL="114300" distR="114300">
            <wp:extent cx="638175" cy="171450"/>
            <wp:effectExtent l="0" t="0" r="952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0"/>
                    <a:stretch>
                      <a:fillRect/>
                    </a:stretch>
                  </pic:blipFill>
                  <pic:spPr>
                    <a:xfrm>
                      <a:off x="0" y="0"/>
                      <a:ext cx="638175" cy="171450"/>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 xml:space="preserve"> 存入基线，</w:t>
      </w:r>
    </w:p>
    <w:p w14:paraId="45E187C6">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4．3 扫描</w:t>
      </w:r>
    </w:p>
    <w:p w14:paraId="7812C118">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在二号放入样品溶液，单击</w:t>
      </w:r>
      <w:r>
        <w:rPr>
          <w:rFonts w:hint="eastAsia" w:ascii="仿宋_GB2312" w:hAnsi="仿宋_GB2312" w:eastAsia="仿宋_GB2312" w:cs="仿宋_GB2312"/>
          <w:color w:val="auto"/>
          <w:sz w:val="32"/>
          <w:szCs w:val="32"/>
          <w:highlight w:val="none"/>
        </w:rPr>
        <w:drawing>
          <wp:inline distT="0" distB="0" distL="114300" distR="114300">
            <wp:extent cx="514350" cy="2381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4350" cy="238125"/>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进行扫描，当扫描完毕后，单击</w:t>
      </w:r>
      <w:r>
        <w:rPr>
          <w:rFonts w:hint="eastAsia" w:ascii="仿宋_GB2312" w:hAnsi="仿宋_GB2312" w:eastAsia="仿宋_GB2312" w:cs="仿宋_GB2312"/>
          <w:color w:val="auto"/>
          <w:sz w:val="32"/>
          <w:szCs w:val="32"/>
          <w:highlight w:val="none"/>
        </w:rPr>
        <w:object>
          <v:shape id="_x0000_i1032" o:spt="75" type="#_x0000_t75" style="height:17pt;width:17pt;" o:ole="t" filled="f" o:preferrelative="t" stroked="f" coordsize="21600,21600">
            <v:path/>
            <v:fill on="f" focussize="0,0"/>
            <v:stroke on="f"/>
            <v:imagedata r:id="rId33" o:title=""/>
            <o:lock v:ext="edit" aspectratio="t"/>
            <w10:wrap type="none"/>
            <w10:anchorlock/>
          </v:shape>
          <o:OLEObject Type="Embed" ProgID="PBrush" ShapeID="_x0000_i1032" DrawAspect="Content" ObjectID="_1468075732" r:id="rId32">
            <o:LockedField>false</o:LockedField>
          </o:OLEObject>
        </w:object>
      </w:r>
      <w:r>
        <w:rPr>
          <w:rFonts w:hint="eastAsia" w:ascii="仿宋_GB2312" w:hAnsi="仿宋_GB2312" w:eastAsia="仿宋_GB2312" w:cs="仿宋_GB2312"/>
          <w:color w:val="auto"/>
          <w:sz w:val="32"/>
          <w:szCs w:val="32"/>
          <w:highlight w:val="none"/>
        </w:rPr>
        <w:t>检出图谱的峰、谷波长值及Abs值。</w:t>
      </w:r>
    </w:p>
    <w:p w14:paraId="130AE28F">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1"/>
        <w:rPr>
          <w:rFonts w:hint="eastAsia" w:ascii="仿宋_GB2312" w:hAnsi="仿宋_GB2312" w:eastAsia="仿宋_GB2312" w:cs="仿宋_GB2312"/>
          <w:color w:val="auto"/>
          <w:sz w:val="32"/>
          <w:szCs w:val="32"/>
          <w:highlight w:val="none"/>
        </w:rPr>
      </w:pPr>
      <w:bookmarkStart w:id="145" w:name="_Toc26563"/>
      <w:bookmarkStart w:id="146" w:name="_Toc30225"/>
      <w:bookmarkStart w:id="147" w:name="_Toc26702"/>
      <w:r>
        <w:rPr>
          <w:rFonts w:hint="eastAsia" w:ascii="仿宋_GB2312" w:hAnsi="仿宋_GB2312" w:eastAsia="仿宋_GB2312" w:cs="仿宋_GB2312"/>
          <w:color w:val="auto"/>
          <w:sz w:val="32"/>
          <w:szCs w:val="32"/>
          <w:highlight w:val="none"/>
        </w:rPr>
        <w:t>5.定量测量</w:t>
      </w:r>
      <w:bookmarkEnd w:id="145"/>
      <w:bookmarkEnd w:id="146"/>
      <w:bookmarkEnd w:id="147"/>
    </w:p>
    <w:p w14:paraId="5CA74D99">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1"/>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5．1  参数设置</w:t>
      </w:r>
    </w:p>
    <w:p w14:paraId="5667FCF5">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单击</w:t>
      </w:r>
      <w:r>
        <w:rPr>
          <w:rFonts w:hint="eastAsia" w:ascii="仿宋_GB2312" w:hAnsi="仿宋_GB2312" w:eastAsia="仿宋_GB2312" w:cs="仿宋_GB2312"/>
          <w:color w:val="auto"/>
          <w:sz w:val="32"/>
          <w:szCs w:val="32"/>
          <w:highlight w:val="none"/>
        </w:rPr>
        <w:object>
          <v:shape id="_x0000_i1033" o:spt="75" type="#_x0000_t75" style="height:17.15pt;width:16.45pt;" o:ole="t" filled="f" o:preferrelative="t" stroked="f" coordsize="21600,21600">
            <v:path/>
            <v:fill on="f" focussize="0,0"/>
            <v:stroke on="f"/>
            <v:imagedata r:id="rId35" o:title=""/>
            <o:lock v:ext="edit" aspectratio="t"/>
            <w10:wrap type="none"/>
            <w10:anchorlock/>
          </v:shape>
          <o:OLEObject Type="Embed" ProgID="PBrush" ShapeID="_x0000_i1033" DrawAspect="Content" ObjectID="_1468075733" r:id="rId34">
            <o:LockedField>false</o:LockedField>
          </o:OLEObject>
        </w:object>
      </w:r>
      <w:r>
        <w:rPr>
          <w:rFonts w:hint="eastAsia" w:ascii="仿宋_GB2312" w:hAnsi="仿宋_GB2312" w:eastAsia="仿宋_GB2312" w:cs="仿宋_GB2312"/>
          <w:color w:val="auto"/>
          <w:sz w:val="32"/>
          <w:szCs w:val="32"/>
          <w:highlight w:val="none"/>
        </w:rPr>
        <w:t>，进入定量测量；单击</w:t>
      </w:r>
      <w:r>
        <w:rPr>
          <w:rFonts w:hint="eastAsia" w:ascii="仿宋_GB2312" w:hAnsi="仿宋_GB2312" w:eastAsia="仿宋_GB2312" w:cs="仿宋_GB2312"/>
          <w:color w:val="auto"/>
          <w:sz w:val="32"/>
          <w:szCs w:val="32"/>
          <w:highlight w:val="none"/>
        </w:rPr>
        <w:object>
          <v:shape id="_x0000_i1034" o:spt="75" type="#_x0000_t75" style="height:17.7pt;width:17pt;" o:ole="t" filled="f" o:preferrelative="t" stroked="f" coordsize="21600,21600">
            <v:path/>
            <v:fill on="f" focussize="0,0"/>
            <v:stroke on="f"/>
            <v:imagedata r:id="rId24" o:title=""/>
            <o:lock v:ext="edit" aspectratio="t"/>
            <w10:wrap type="none"/>
            <w10:anchorlock/>
          </v:shape>
          <o:OLEObject Type="Embed" ProgID="PBrush" ShapeID="_x0000_i1034" DrawAspect="Content" ObjectID="_1468075734" r:id="rId36">
            <o:LockedField>false</o:LockedField>
          </o:OLEObject>
        </w:object>
      </w:r>
      <w:r>
        <w:rPr>
          <w:rFonts w:hint="eastAsia" w:ascii="仿宋_GB2312" w:hAnsi="仿宋_GB2312" w:eastAsia="仿宋_GB2312" w:cs="仿宋_GB2312"/>
          <w:color w:val="auto"/>
          <w:sz w:val="32"/>
          <w:szCs w:val="32"/>
          <w:highlight w:val="none"/>
        </w:rPr>
        <w:t xml:space="preserve">，设置具体参数：1、测量模式（一般为单波长）；2、输入测量波长；3、选择曲线方式（一般为C =K0A+K1…）；单击 </w:t>
      </w:r>
      <w:r>
        <w:rPr>
          <w:rFonts w:hint="eastAsia" w:ascii="仿宋_GB2312" w:hAnsi="仿宋_GB2312" w:eastAsia="仿宋_GB2312" w:cs="仿宋_GB2312"/>
          <w:color w:val="auto"/>
          <w:sz w:val="32"/>
          <w:szCs w:val="32"/>
          <w:highlight w:val="none"/>
        </w:rPr>
        <w:object>
          <v:shape id="_x0000_i1035" o:spt="75" type="#_x0000_t75" style="height:13.5pt;width:50.25pt;" o:ole="t" filled="f" o:preferrelative="t" stroked="f" coordsize="21600,21600">
            <v:path/>
            <v:fill on="f" focussize="0,0"/>
            <v:stroke on="f" joinstyle="miter"/>
            <v:imagedata r:id="rId20" o:title=""/>
            <o:lock v:ext="edit" aspectratio="t"/>
            <w10:wrap type="none"/>
            <w10:anchorlock/>
          </v:shape>
          <o:OLEObject Type="Embed" ProgID="PBrush" ShapeID="_x0000_i1035" DrawAspect="Content" ObjectID="_1468075735" r:id="rId37">
            <o:LockedField>false</o:LockedField>
          </o:OLEObject>
        </w:object>
      </w:r>
      <w:r>
        <w:rPr>
          <w:rFonts w:hint="eastAsia" w:ascii="仿宋_GB2312" w:hAnsi="仿宋_GB2312" w:eastAsia="仿宋_GB2312" w:cs="仿宋_GB2312"/>
          <w:color w:val="auto"/>
          <w:sz w:val="32"/>
          <w:szCs w:val="32"/>
          <w:highlight w:val="none"/>
        </w:rPr>
        <w:t xml:space="preserve"> 退出参数设置， </w:t>
      </w:r>
    </w:p>
    <w:p w14:paraId="5A1F596A">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5．2  校零</w:t>
      </w:r>
    </w:p>
    <w:p w14:paraId="10BCF8E6">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 xml:space="preserve">在一号样品池中放入参比溶液，单击 </w:t>
      </w:r>
      <w:r>
        <w:rPr>
          <w:rFonts w:hint="eastAsia" w:ascii="仿宋_GB2312" w:hAnsi="仿宋_GB2312" w:eastAsia="仿宋_GB2312" w:cs="仿宋_GB2312"/>
          <w:color w:val="auto"/>
          <w:sz w:val="32"/>
          <w:szCs w:val="32"/>
          <w:highlight w:val="none"/>
        </w:rPr>
        <w:drawing>
          <wp:inline distT="0" distB="0" distL="0" distR="0">
            <wp:extent cx="457200" cy="160655"/>
            <wp:effectExtent l="0" t="0" r="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7200" cy="160655"/>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 xml:space="preserve"> 校零</w:t>
      </w:r>
      <w:r>
        <w:rPr>
          <w:rFonts w:hint="eastAsia" w:ascii="仿宋_GB2312" w:hAnsi="仿宋_GB2312" w:eastAsia="仿宋_GB2312" w:cs="仿宋_GB2312"/>
          <w:color w:val="auto"/>
          <w:sz w:val="32"/>
          <w:szCs w:val="32"/>
          <w:highlight w:val="none"/>
          <w:lang w:eastAsia="zh-CN"/>
        </w:rPr>
        <w:t>。</w:t>
      </w:r>
    </w:p>
    <w:p w14:paraId="1C928463">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5．3  测量标准样品</w:t>
      </w:r>
    </w:p>
    <w:p w14:paraId="6E499783">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将鼠标移动到标准样品测量表格，在二号放入样品溶液一号标准样品，顺序执行,单击</w:t>
      </w:r>
      <w:r>
        <w:rPr>
          <w:rFonts w:hint="eastAsia" w:ascii="仿宋_GB2312" w:hAnsi="仿宋_GB2312" w:eastAsia="仿宋_GB2312" w:cs="仿宋_GB2312"/>
          <w:color w:val="auto"/>
          <w:sz w:val="32"/>
          <w:szCs w:val="32"/>
          <w:highlight w:val="none"/>
        </w:rPr>
        <w:drawing>
          <wp:inline distT="0" distB="0" distL="114300" distR="114300">
            <wp:extent cx="447675" cy="227965"/>
            <wp:effectExtent l="0" t="0" r="952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7675" cy="227965"/>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 xml:space="preserve">。输入相应的标液浓度单击 </w:t>
      </w:r>
      <w:r>
        <w:rPr>
          <w:rFonts w:hint="eastAsia" w:ascii="仿宋_GB2312" w:hAnsi="仿宋_GB2312" w:eastAsia="仿宋_GB2312" w:cs="仿宋_GB2312"/>
          <w:color w:val="auto"/>
          <w:sz w:val="32"/>
          <w:szCs w:val="32"/>
          <w:highlight w:val="none"/>
        </w:rPr>
        <w:drawing>
          <wp:inline distT="0" distB="0" distL="114300" distR="114300">
            <wp:extent cx="638175" cy="171450"/>
            <wp:effectExtent l="0" t="0" r="1905"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0"/>
                    <a:stretch>
                      <a:fillRect/>
                    </a:stretch>
                  </pic:blipFill>
                  <pic:spPr>
                    <a:xfrm>
                      <a:off x="0" y="0"/>
                      <a:ext cx="638175" cy="171450"/>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以此</w:t>
      </w:r>
      <w:r>
        <w:rPr>
          <w:rFonts w:hint="eastAsia" w:ascii="仿宋_GB2312" w:hAnsi="仿宋_GB2312" w:eastAsia="仿宋_GB2312" w:cs="仿宋_GB2312"/>
          <w:color w:val="auto"/>
          <w:sz w:val="32"/>
          <w:szCs w:val="32"/>
          <w:highlight w:val="none"/>
        </w:rPr>
        <w:t>类推将所配标准样品测完。检查标准曲线相关系数R</w:t>
      </w:r>
      <w:r>
        <w:rPr>
          <w:rFonts w:hint="eastAsia" w:ascii="仿宋_GB2312" w:hAnsi="仿宋_GB2312" w:eastAsia="仿宋_GB2312" w:cs="仿宋_GB2312"/>
          <w:color w:val="auto"/>
          <w:sz w:val="32"/>
          <w:szCs w:val="32"/>
          <w:highlight w:val="none"/>
          <w:vertAlign w:val="superscript"/>
        </w:rPr>
        <w:t>2</w:t>
      </w:r>
      <w:r>
        <w:rPr>
          <w:rFonts w:hint="eastAsia" w:ascii="仿宋_GB2312" w:hAnsi="仿宋_GB2312" w:eastAsia="仿宋_GB2312" w:cs="仿宋_GB2312"/>
          <w:color w:val="auto"/>
          <w:sz w:val="32"/>
          <w:szCs w:val="32"/>
          <w:highlight w:val="none"/>
        </w:rPr>
        <w:t>值情况，一般应为 R</w:t>
      </w:r>
      <w:r>
        <w:rPr>
          <w:rFonts w:hint="eastAsia" w:ascii="仿宋_GB2312" w:hAnsi="仿宋_GB2312" w:eastAsia="仿宋_GB2312" w:cs="仿宋_GB2312"/>
          <w:color w:val="auto"/>
          <w:sz w:val="32"/>
          <w:szCs w:val="32"/>
          <w:highlight w:val="none"/>
          <w:vertAlign w:val="superscript"/>
        </w:rPr>
        <w:t>2</w:t>
      </w:r>
      <w:r>
        <w:rPr>
          <w:rFonts w:hint="eastAsia" w:ascii="仿宋_GB2312" w:hAnsi="仿宋_GB2312" w:eastAsia="仿宋_GB2312" w:cs="仿宋_GB2312"/>
          <w:color w:val="auto"/>
          <w:sz w:val="32"/>
          <w:szCs w:val="32"/>
          <w:highlight w:val="none"/>
        </w:rPr>
        <w:t>≥0.999以上标准曲线方可使用。</w:t>
      </w:r>
    </w:p>
    <w:p w14:paraId="21A9B9AC">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5．4未知样品测定，</w:t>
      </w:r>
    </w:p>
    <w:p w14:paraId="4EEDF537">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将鼠标移动到未知样品测量表格，单击</w:t>
      </w:r>
      <w:r>
        <w:rPr>
          <w:rFonts w:hint="eastAsia" w:ascii="仿宋_GB2312" w:hAnsi="仿宋_GB2312" w:eastAsia="仿宋_GB2312" w:cs="仿宋_GB2312"/>
          <w:color w:val="auto"/>
          <w:sz w:val="32"/>
          <w:szCs w:val="32"/>
          <w:highlight w:val="none"/>
        </w:rPr>
        <w:drawing>
          <wp:inline distT="0" distB="0" distL="114300" distR="114300">
            <wp:extent cx="514350" cy="2381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4350" cy="238125"/>
                    </a:xfrm>
                    <a:prstGeom prst="rect">
                      <a:avLst/>
                    </a:prstGeom>
                    <a:noFill/>
                    <a:ln>
                      <a:noFill/>
                    </a:ln>
                  </pic:spPr>
                </pic:pic>
              </a:graphicData>
            </a:graphic>
          </wp:inline>
        </w:drawing>
      </w:r>
      <w:r>
        <w:rPr>
          <w:rFonts w:hint="eastAsia" w:ascii="仿宋_GB2312" w:hAnsi="仿宋_GB2312" w:eastAsia="仿宋_GB2312" w:cs="仿宋_GB2312"/>
          <w:color w:val="auto"/>
          <w:sz w:val="32"/>
          <w:szCs w:val="32"/>
          <w:highlight w:val="none"/>
        </w:rPr>
        <w:t>。放入待测未知样品，将鼠标移动到未知样品测量窗口，单击</w:t>
      </w:r>
      <w:r>
        <w:rPr>
          <w:rFonts w:hint="eastAsia" w:ascii="仿宋_GB2312" w:hAnsi="仿宋_GB2312" w:eastAsia="仿宋_GB2312" w:cs="仿宋_GB2312"/>
          <w:color w:val="auto"/>
          <w:sz w:val="32"/>
          <w:szCs w:val="32"/>
          <w:highlight w:val="none"/>
        </w:rPr>
        <w:object>
          <v:shape id="_x0000_i1036" o:spt="75" type="#_x0000_t75" style="height:13.5pt;width:50.25pt;" o:ole="t" filled="f" o:preferrelative="t" stroked="f" coordsize="21600,21600">
            <v:path/>
            <v:fill on="f" focussize="0,0"/>
            <v:stroke on="f" joinstyle="miter"/>
            <v:imagedata r:id="rId20" o:title=""/>
            <o:lock v:ext="edit" aspectratio="t"/>
            <w10:wrap type="none"/>
            <w10:anchorlock/>
          </v:shape>
          <o:OLEObject Type="Embed" ProgID="PBrush" ShapeID="_x0000_i1036" DrawAspect="Content" ObjectID="_1468075736" r:id="rId38">
            <o:LockedField>false</o:LockedField>
          </o:OLEObject>
        </w:object>
      </w:r>
      <w:r>
        <w:rPr>
          <w:rFonts w:hint="eastAsia" w:ascii="仿宋_GB2312" w:hAnsi="仿宋_GB2312" w:eastAsia="仿宋_GB2312" w:cs="仿宋_GB2312"/>
          <w:color w:val="auto"/>
          <w:sz w:val="32"/>
          <w:szCs w:val="32"/>
          <w:highlight w:val="none"/>
        </w:rPr>
        <w:t>，即可测出样品浓度。</w:t>
      </w:r>
    </w:p>
    <w:p w14:paraId="30640B9F">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1"/>
        <w:rPr>
          <w:rFonts w:hint="eastAsia" w:ascii="仿宋_GB2312" w:hAnsi="仿宋_GB2312" w:eastAsia="仿宋_GB2312" w:cs="仿宋_GB2312"/>
          <w:color w:val="auto"/>
          <w:sz w:val="32"/>
          <w:szCs w:val="32"/>
          <w:highlight w:val="none"/>
        </w:rPr>
      </w:pPr>
      <w:bookmarkStart w:id="148" w:name="_Toc8199"/>
      <w:bookmarkStart w:id="149" w:name="_Toc19212"/>
      <w:bookmarkStart w:id="150" w:name="_Toc16246"/>
      <w:r>
        <w:rPr>
          <w:rFonts w:hint="eastAsia" w:ascii="仿宋_GB2312" w:hAnsi="仿宋_GB2312" w:eastAsia="仿宋_GB2312" w:cs="仿宋_GB2312"/>
          <w:color w:val="auto"/>
          <w:sz w:val="32"/>
          <w:szCs w:val="32"/>
          <w:highlight w:val="none"/>
        </w:rPr>
        <w:t>6.关机</w:t>
      </w:r>
      <w:bookmarkEnd w:id="148"/>
      <w:bookmarkEnd w:id="149"/>
      <w:bookmarkEnd w:id="150"/>
    </w:p>
    <w:p w14:paraId="74B7586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测量完成后，点击波长定位按钮，将波长定位到500nm后，退出紫外软件操作系统，依次关掉主机电源，计算机，打印机电源，盖上所配仪器罩，防止灰尘进入仪器。</w:t>
      </w:r>
    </w:p>
    <w:p w14:paraId="47214460">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1"/>
        <w:rPr>
          <w:rFonts w:hint="eastAsia" w:ascii="仿宋_GB2312" w:hAnsi="仿宋_GB2312" w:eastAsia="仿宋_GB2312" w:cs="仿宋_GB2312"/>
          <w:bCs/>
          <w:color w:val="auto"/>
          <w:sz w:val="32"/>
          <w:szCs w:val="32"/>
          <w:highlight w:val="none"/>
        </w:rPr>
      </w:pPr>
      <w:bookmarkStart w:id="151" w:name="_Toc16439"/>
      <w:bookmarkStart w:id="152" w:name="_Toc30209"/>
      <w:bookmarkStart w:id="153" w:name="_Toc23136"/>
      <w:r>
        <w:rPr>
          <w:rFonts w:hint="eastAsia" w:ascii="仿宋_GB2312" w:hAnsi="仿宋_GB2312" w:eastAsia="仿宋_GB2312" w:cs="仿宋_GB2312"/>
          <w:bCs/>
          <w:color w:val="auto"/>
          <w:sz w:val="32"/>
          <w:szCs w:val="32"/>
          <w:highlight w:val="none"/>
        </w:rPr>
        <w:t>7．本规程仅供操作者参考，相关内容应以《操作手册》为准。</w:t>
      </w:r>
      <w:bookmarkEnd w:id="151"/>
      <w:bookmarkEnd w:id="152"/>
      <w:bookmarkEnd w:id="153"/>
    </w:p>
    <w:p w14:paraId="6000ABF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eastAsia="宋体" w:cs="Times New Roman"/>
          <w:b/>
          <w:color w:val="auto"/>
          <w:sz w:val="32"/>
          <w:szCs w:val="32"/>
          <w:highlight w:val="none"/>
        </w:rPr>
      </w:pPr>
    </w:p>
    <w:p w14:paraId="7BAB3E8F">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32"/>
          <w:szCs w:val="32"/>
          <w:highlight w:val="none"/>
        </w:rPr>
      </w:pPr>
    </w:p>
    <w:sectPr>
      <w:pgSz w:w="11906" w:h="16838"/>
      <w:pgMar w:top="2098" w:right="1531" w:bottom="1814" w:left="1531" w:header="851" w:footer="1587" w:gutter="0"/>
      <w:pgNumType w:fmt="numberInDash"/>
      <w:cols w:space="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ED4DF44-B2A5-4E32-88FA-CDC6B1582F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08885FCB-9B8B-4DAB-8C56-C4BD87838879}"/>
  </w:font>
  <w:font w:name="Calibri">
    <w:panose1 w:val="020F0502020204030204"/>
    <w:charset w:val="00"/>
    <w:family w:val="swiss"/>
    <w:pitch w:val="default"/>
    <w:sig w:usb0="E4002EFF" w:usb1="C000247B" w:usb2="00000009" w:usb3="00000000" w:csb0="200001FF" w:csb1="00000000"/>
    <w:embedRegular r:id="rId3" w:fontKey="{EE78ACC4-AE10-4959-AE0C-411746267735}"/>
  </w:font>
  <w:font w:name="楷体">
    <w:panose1 w:val="02010609060101010101"/>
    <w:charset w:val="86"/>
    <w:family w:val="modern"/>
    <w:pitch w:val="default"/>
    <w:sig w:usb0="800002BF" w:usb1="38CF7CFA" w:usb2="00000016" w:usb3="00000000" w:csb0="00040001" w:csb1="00000000"/>
    <w:embedRegular r:id="rId4" w:fontKey="{4F879F2C-07C6-4F7B-A8BA-8001E5996AA5}"/>
  </w:font>
  <w:font w:name="仿宋_GB2312">
    <w:panose1 w:val="02010609030101010101"/>
    <w:charset w:val="86"/>
    <w:family w:val="modern"/>
    <w:pitch w:val="default"/>
    <w:sig w:usb0="00000001" w:usb1="080E0000" w:usb2="00000000" w:usb3="00000000" w:csb0="00040000" w:csb1="00000000"/>
    <w:embedRegular r:id="rId5" w:fontKey="{69BF2B85-9B0F-44EB-A3C1-A2B02F1EFDF0}"/>
  </w:font>
  <w:font w:name="Inria Serif">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 New Roman (Headings CS)">
    <w:altName w:val="Times New Roman"/>
    <w:panose1 w:val="00000000000000000000"/>
    <w:charset w:val="00"/>
    <w:family w:val="modern"/>
    <w:pitch w:val="default"/>
    <w:sig w:usb0="00000000" w:usb1="00000000" w:usb2="00000000" w:usb3="00000000" w:csb0="00000001" w:csb1="00000000"/>
  </w:font>
  <w:font w:name="Frutiger LT Com 45 Light">
    <w:altName w:val="Segoe Print"/>
    <w:panose1 w:val="00000000000000000000"/>
    <w:charset w:val="00"/>
    <w:family w:val="decorative"/>
    <w:pitch w:val="default"/>
    <w:sig w:usb0="00000000" w:usb1="00000000" w:usb2="00000000" w:usb3="00000000" w:csb0="00000001" w:csb1="00000000"/>
  </w:font>
  <w:font w:name="LinTimes">
    <w:altName w:val="Times New Roman"/>
    <w:panose1 w:val="00000000000000000000"/>
    <w:charset w:val="00"/>
    <w:family w:val="auto"/>
    <w:pitch w:val="default"/>
    <w:sig w:usb0="00000000" w:usb1="00000000" w:usb2="00000000" w:usb3="00000000" w:csb0="00000000" w:csb1="00000000"/>
    <w:embedRegular r:id="rId6" w:fontKey="{6BC8BD73-7D6C-4542-A0E0-BCCB0D07FD8A}"/>
  </w:font>
  <w:font w:name="华文中宋">
    <w:panose1 w:val="02010600040101010101"/>
    <w:charset w:val="86"/>
    <w:family w:val="auto"/>
    <w:pitch w:val="default"/>
    <w:sig w:usb0="00000287" w:usb1="080F0000" w:usb2="00000000" w:usb3="00000000" w:csb0="0004009F" w:csb1="DFD70000"/>
    <w:embedRegular r:id="rId7" w:fontKey="{4D51AB31-EE33-405A-B5F8-7A2A9D412F54}"/>
  </w:font>
  <w:font w:name="方正小标宋简体">
    <w:panose1 w:val="03000509000000000000"/>
    <w:charset w:val="86"/>
    <w:family w:val="auto"/>
    <w:pitch w:val="default"/>
    <w:sig w:usb0="00000001" w:usb1="080E0000" w:usb2="00000000" w:usb3="00000000" w:csb0="00040000" w:csb1="00000000"/>
    <w:embedRegular r:id="rId8" w:fontKey="{E71F0BEF-6A99-40EE-B5BF-3B7DEBD2D63A}"/>
  </w:font>
  <w:font w:name="微软雅黑">
    <w:panose1 w:val="020B0503020204020204"/>
    <w:charset w:val="86"/>
    <w:family w:val="swiss"/>
    <w:pitch w:val="default"/>
    <w:sig w:usb0="80000287" w:usb1="2ACF3C50" w:usb2="00000016" w:usb3="00000000" w:csb0="0004001F" w:csb1="00000000"/>
    <w:embedRegular r:id="rId9" w:fontKey="{E257529C-EECA-4E9E-AA8F-5006871A6A1F}"/>
  </w:font>
  <w:font w:name="仿宋">
    <w:panose1 w:val="02010609060101010101"/>
    <w:charset w:val="86"/>
    <w:family w:val="modern"/>
    <w:pitch w:val="default"/>
    <w:sig w:usb0="800002BF" w:usb1="38CF7CFA" w:usb2="00000016" w:usb3="00000000" w:csb0="00040001" w:csb1="00000000"/>
    <w:embedRegular r:id="rId10" w:fontKey="{79FF9AC9-350D-4CEB-AC8D-B500525AF33F}"/>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977A4">
    <w:pPr>
      <w:widowControl w:val="0"/>
      <w:tabs>
        <w:tab w:val="center" w:pos="4755"/>
      </w:tabs>
      <w:snapToGrid w:val="0"/>
      <w:spacing w:line="560" w:lineRule="exact"/>
      <w:ind w:firstLine="0" w:firstLineChars="0"/>
      <w:jc w:val="left"/>
      <w:rPr>
        <w:rFonts w:ascii="Times New Roman" w:hAnsi="Times New Roman" w:eastAsia="仿宋_GB2312" w:cs="Times New Roman"/>
        <w:kern w:val="2"/>
        <w:sz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F193E">
    <w:pPr>
      <w:spacing w:line="188" w:lineRule="auto"/>
      <w:ind w:left="4284"/>
      <w:rPr>
        <w:rFonts w:ascii="Calibri" w:hAnsi="Calibri" w:eastAsia="Calibri" w:cs="Calibri"/>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D0E54">
    <w:pPr>
      <w:spacing w:line="186" w:lineRule="auto"/>
      <w:ind w:left="4090"/>
      <w:rPr>
        <w:rFonts w:ascii="Calibri" w:hAnsi="Calibri" w:eastAsia="Calibri" w:cs="Calibri"/>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9BFC50">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7D9BFC50">
                    <w:pPr>
                      <w:pStyle w:val="8"/>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98096">
    <w:pPr>
      <w:widowControl w:val="0"/>
      <w:pBdr>
        <w:top w:val="none" w:color="auto" w:sz="0" w:space="0"/>
        <w:left w:val="none" w:color="auto" w:sz="0" w:space="0"/>
        <w:bottom w:val="none" w:color="auto" w:sz="0" w:space="1"/>
        <w:right w:val="none" w:color="auto" w:sz="0" w:space="0"/>
        <w:between w:val="none" w:color="auto" w:sz="0" w:space="0"/>
      </w:pBdr>
      <w:snapToGrid w:val="0"/>
      <w:spacing w:line="560" w:lineRule="exact"/>
      <w:ind w:firstLine="360" w:firstLineChars="200"/>
      <w:jc w:val="center"/>
      <w:rPr>
        <w:rFonts w:ascii="Times New Roman" w:hAnsi="Times New Roman" w:eastAsia="仿宋_GB2312" w:cs="Times New Roman"/>
        <w:kern w:val="2"/>
        <w:sz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67330">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4"/>
      <w:numFmt w:val="japaneseCounting"/>
      <w:pStyle w:val="26"/>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58"/>
  <w:drawingGridVerticalSpacing w:val="294"/>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5YWY3M2IyZGE5ODg4MDkzNzE5YzkwNDM3YmQ3ZjYifQ=="/>
  </w:docVars>
  <w:rsids>
    <w:rsidRoot w:val="0C084FCE"/>
    <w:rsid w:val="000B29DA"/>
    <w:rsid w:val="000F40A4"/>
    <w:rsid w:val="00252800"/>
    <w:rsid w:val="00357E80"/>
    <w:rsid w:val="0039468C"/>
    <w:rsid w:val="003A3BA2"/>
    <w:rsid w:val="004E06DE"/>
    <w:rsid w:val="005C5392"/>
    <w:rsid w:val="005F6455"/>
    <w:rsid w:val="0073050A"/>
    <w:rsid w:val="00780F12"/>
    <w:rsid w:val="00890BFD"/>
    <w:rsid w:val="009B6AA7"/>
    <w:rsid w:val="00AB43D6"/>
    <w:rsid w:val="00C31038"/>
    <w:rsid w:val="00C36497"/>
    <w:rsid w:val="00C534C3"/>
    <w:rsid w:val="00CD3D56"/>
    <w:rsid w:val="00DC384F"/>
    <w:rsid w:val="00EE45EC"/>
    <w:rsid w:val="00F4715D"/>
    <w:rsid w:val="00F80832"/>
    <w:rsid w:val="01D04F8E"/>
    <w:rsid w:val="028E36D5"/>
    <w:rsid w:val="02903EC5"/>
    <w:rsid w:val="029B22D0"/>
    <w:rsid w:val="02CA62AA"/>
    <w:rsid w:val="03411FB9"/>
    <w:rsid w:val="039A16CB"/>
    <w:rsid w:val="04B26F57"/>
    <w:rsid w:val="056C3DF1"/>
    <w:rsid w:val="05B3172C"/>
    <w:rsid w:val="05C960A8"/>
    <w:rsid w:val="05F822E7"/>
    <w:rsid w:val="06682254"/>
    <w:rsid w:val="06974909"/>
    <w:rsid w:val="07A71F58"/>
    <w:rsid w:val="07C566A6"/>
    <w:rsid w:val="08470072"/>
    <w:rsid w:val="09823ECE"/>
    <w:rsid w:val="09F77294"/>
    <w:rsid w:val="0A0961A4"/>
    <w:rsid w:val="0A5A52D4"/>
    <w:rsid w:val="0AEE6ECB"/>
    <w:rsid w:val="0B8930E5"/>
    <w:rsid w:val="0C084FCE"/>
    <w:rsid w:val="0CB00D08"/>
    <w:rsid w:val="0D9A27F0"/>
    <w:rsid w:val="0DDB63C6"/>
    <w:rsid w:val="0F05115D"/>
    <w:rsid w:val="0F8312A0"/>
    <w:rsid w:val="0FA05250"/>
    <w:rsid w:val="10335EAE"/>
    <w:rsid w:val="10E5120D"/>
    <w:rsid w:val="118D4493"/>
    <w:rsid w:val="12503FC7"/>
    <w:rsid w:val="12E27315"/>
    <w:rsid w:val="13330327"/>
    <w:rsid w:val="13E85CE5"/>
    <w:rsid w:val="140D340F"/>
    <w:rsid w:val="14311B36"/>
    <w:rsid w:val="144C289B"/>
    <w:rsid w:val="1464717C"/>
    <w:rsid w:val="14A901CE"/>
    <w:rsid w:val="15D2269F"/>
    <w:rsid w:val="167523AF"/>
    <w:rsid w:val="16773F56"/>
    <w:rsid w:val="167B35F3"/>
    <w:rsid w:val="168241F9"/>
    <w:rsid w:val="169D2B0F"/>
    <w:rsid w:val="1723538E"/>
    <w:rsid w:val="17395063"/>
    <w:rsid w:val="17AE5890"/>
    <w:rsid w:val="18167367"/>
    <w:rsid w:val="182C3CD5"/>
    <w:rsid w:val="185540E5"/>
    <w:rsid w:val="186E6F48"/>
    <w:rsid w:val="19B77587"/>
    <w:rsid w:val="19F17A92"/>
    <w:rsid w:val="1A0737EA"/>
    <w:rsid w:val="1A271EAF"/>
    <w:rsid w:val="1A4E34E2"/>
    <w:rsid w:val="1B4C3D60"/>
    <w:rsid w:val="1CBA2D81"/>
    <w:rsid w:val="1D064AB5"/>
    <w:rsid w:val="1D0F7FA6"/>
    <w:rsid w:val="1D482E5C"/>
    <w:rsid w:val="1D6B43AB"/>
    <w:rsid w:val="1D97438F"/>
    <w:rsid w:val="1EE53CE9"/>
    <w:rsid w:val="1EFF4CC8"/>
    <w:rsid w:val="1F114246"/>
    <w:rsid w:val="1F1A3870"/>
    <w:rsid w:val="1F713058"/>
    <w:rsid w:val="1FAD1142"/>
    <w:rsid w:val="1FEE5681"/>
    <w:rsid w:val="20087C8F"/>
    <w:rsid w:val="208C1E37"/>
    <w:rsid w:val="20C8339A"/>
    <w:rsid w:val="215E7491"/>
    <w:rsid w:val="221B7B3B"/>
    <w:rsid w:val="223555E9"/>
    <w:rsid w:val="23057E55"/>
    <w:rsid w:val="23F94028"/>
    <w:rsid w:val="24191CCD"/>
    <w:rsid w:val="24521943"/>
    <w:rsid w:val="24660568"/>
    <w:rsid w:val="24C7636B"/>
    <w:rsid w:val="25822292"/>
    <w:rsid w:val="2604439E"/>
    <w:rsid w:val="260A045D"/>
    <w:rsid w:val="262A4838"/>
    <w:rsid w:val="2630636C"/>
    <w:rsid w:val="278D0CE0"/>
    <w:rsid w:val="284877C3"/>
    <w:rsid w:val="28A72033"/>
    <w:rsid w:val="28FB7686"/>
    <w:rsid w:val="293E5F8C"/>
    <w:rsid w:val="296E14AB"/>
    <w:rsid w:val="29C76606"/>
    <w:rsid w:val="29E04B4D"/>
    <w:rsid w:val="2A230C9B"/>
    <w:rsid w:val="2A390B59"/>
    <w:rsid w:val="2ADB786B"/>
    <w:rsid w:val="2B476F33"/>
    <w:rsid w:val="2B4803B4"/>
    <w:rsid w:val="2C567FD4"/>
    <w:rsid w:val="2C63003D"/>
    <w:rsid w:val="2C8B2374"/>
    <w:rsid w:val="2CE675AA"/>
    <w:rsid w:val="2E062E06"/>
    <w:rsid w:val="2F921C8B"/>
    <w:rsid w:val="308578E9"/>
    <w:rsid w:val="30C9346B"/>
    <w:rsid w:val="31A05E1B"/>
    <w:rsid w:val="328D5674"/>
    <w:rsid w:val="32CB7A1D"/>
    <w:rsid w:val="332B421D"/>
    <w:rsid w:val="342C448C"/>
    <w:rsid w:val="34D47B7F"/>
    <w:rsid w:val="351864CE"/>
    <w:rsid w:val="355D6CD6"/>
    <w:rsid w:val="35773E58"/>
    <w:rsid w:val="357D5BA8"/>
    <w:rsid w:val="35A42200"/>
    <w:rsid w:val="36350FB0"/>
    <w:rsid w:val="37F07B3E"/>
    <w:rsid w:val="37F37A69"/>
    <w:rsid w:val="383B10C5"/>
    <w:rsid w:val="39140141"/>
    <w:rsid w:val="39473C45"/>
    <w:rsid w:val="396C3FC8"/>
    <w:rsid w:val="39BE00A3"/>
    <w:rsid w:val="3AA95356"/>
    <w:rsid w:val="3B5424E2"/>
    <w:rsid w:val="3BAF01E0"/>
    <w:rsid w:val="3BB8311D"/>
    <w:rsid w:val="3CA612B3"/>
    <w:rsid w:val="3EC146BF"/>
    <w:rsid w:val="3F1839BE"/>
    <w:rsid w:val="3F486480"/>
    <w:rsid w:val="3FB5544D"/>
    <w:rsid w:val="3FBD063E"/>
    <w:rsid w:val="3FE67B95"/>
    <w:rsid w:val="410E339E"/>
    <w:rsid w:val="41CF5121"/>
    <w:rsid w:val="41D560FE"/>
    <w:rsid w:val="41EB6656"/>
    <w:rsid w:val="42A843C9"/>
    <w:rsid w:val="42B42DF9"/>
    <w:rsid w:val="42D2233D"/>
    <w:rsid w:val="431C6F1C"/>
    <w:rsid w:val="436C0412"/>
    <w:rsid w:val="43924CC4"/>
    <w:rsid w:val="43BE404A"/>
    <w:rsid w:val="44D85DA1"/>
    <w:rsid w:val="45B05B06"/>
    <w:rsid w:val="45FD1795"/>
    <w:rsid w:val="46FB37F9"/>
    <w:rsid w:val="47A735E5"/>
    <w:rsid w:val="47CA1B4A"/>
    <w:rsid w:val="47F1010A"/>
    <w:rsid w:val="48691363"/>
    <w:rsid w:val="48BF13BF"/>
    <w:rsid w:val="48C3236A"/>
    <w:rsid w:val="495B4E14"/>
    <w:rsid w:val="4A046F44"/>
    <w:rsid w:val="4A2E4558"/>
    <w:rsid w:val="4A3A3DFD"/>
    <w:rsid w:val="4A5E02AB"/>
    <w:rsid w:val="4B5535FE"/>
    <w:rsid w:val="4B8F6944"/>
    <w:rsid w:val="4C1547E1"/>
    <w:rsid w:val="4C4B447A"/>
    <w:rsid w:val="4D9A1FBF"/>
    <w:rsid w:val="4E1108F4"/>
    <w:rsid w:val="4F124D9F"/>
    <w:rsid w:val="4F4553EE"/>
    <w:rsid w:val="4FE770AA"/>
    <w:rsid w:val="51104B68"/>
    <w:rsid w:val="51B42180"/>
    <w:rsid w:val="520C7E68"/>
    <w:rsid w:val="52334529"/>
    <w:rsid w:val="528678B9"/>
    <w:rsid w:val="53FB2E99"/>
    <w:rsid w:val="55F06DA2"/>
    <w:rsid w:val="569E4362"/>
    <w:rsid w:val="572E4EB3"/>
    <w:rsid w:val="576E69E6"/>
    <w:rsid w:val="577F24FF"/>
    <w:rsid w:val="57F517CD"/>
    <w:rsid w:val="59404AAB"/>
    <w:rsid w:val="597037B0"/>
    <w:rsid w:val="5A3C3B59"/>
    <w:rsid w:val="5A6578E3"/>
    <w:rsid w:val="5AFA0442"/>
    <w:rsid w:val="5B0936F9"/>
    <w:rsid w:val="5B6B4382"/>
    <w:rsid w:val="5BCF52AD"/>
    <w:rsid w:val="5CDA0AA1"/>
    <w:rsid w:val="5D473B0F"/>
    <w:rsid w:val="5DEE9F9F"/>
    <w:rsid w:val="5E0B43F7"/>
    <w:rsid w:val="5E6F08FE"/>
    <w:rsid w:val="5F407850"/>
    <w:rsid w:val="5FA45334"/>
    <w:rsid w:val="5FDE02C8"/>
    <w:rsid w:val="5FE3497A"/>
    <w:rsid w:val="60152359"/>
    <w:rsid w:val="60970279"/>
    <w:rsid w:val="6115008A"/>
    <w:rsid w:val="61F05F53"/>
    <w:rsid w:val="62567570"/>
    <w:rsid w:val="627F733F"/>
    <w:rsid w:val="6599323D"/>
    <w:rsid w:val="65A27BF3"/>
    <w:rsid w:val="66013A15"/>
    <w:rsid w:val="66517A3A"/>
    <w:rsid w:val="66B913D7"/>
    <w:rsid w:val="66E3632D"/>
    <w:rsid w:val="67927294"/>
    <w:rsid w:val="682F5C04"/>
    <w:rsid w:val="6888305D"/>
    <w:rsid w:val="690766BE"/>
    <w:rsid w:val="698440F6"/>
    <w:rsid w:val="6A946DF9"/>
    <w:rsid w:val="6AA33DDA"/>
    <w:rsid w:val="6AD55035"/>
    <w:rsid w:val="6BA7714D"/>
    <w:rsid w:val="6C240F1E"/>
    <w:rsid w:val="6CAF031E"/>
    <w:rsid w:val="6D035033"/>
    <w:rsid w:val="6D0740B1"/>
    <w:rsid w:val="6E213E0C"/>
    <w:rsid w:val="6EA33E68"/>
    <w:rsid w:val="6FF739FA"/>
    <w:rsid w:val="703C01A2"/>
    <w:rsid w:val="7110651E"/>
    <w:rsid w:val="71CB14AA"/>
    <w:rsid w:val="72301DC8"/>
    <w:rsid w:val="738765E3"/>
    <w:rsid w:val="738B27A5"/>
    <w:rsid w:val="73AC0938"/>
    <w:rsid w:val="73AE4416"/>
    <w:rsid w:val="74674A64"/>
    <w:rsid w:val="7542686A"/>
    <w:rsid w:val="755C206F"/>
    <w:rsid w:val="75667C19"/>
    <w:rsid w:val="75D5280E"/>
    <w:rsid w:val="76601EFF"/>
    <w:rsid w:val="76DE7D49"/>
    <w:rsid w:val="772F75E8"/>
    <w:rsid w:val="777D3E7E"/>
    <w:rsid w:val="777F5A12"/>
    <w:rsid w:val="77C8376A"/>
    <w:rsid w:val="77FF21D0"/>
    <w:rsid w:val="78E06773"/>
    <w:rsid w:val="7975C54F"/>
    <w:rsid w:val="79B72441"/>
    <w:rsid w:val="79C71E68"/>
    <w:rsid w:val="79D5DDE7"/>
    <w:rsid w:val="7AFF87C5"/>
    <w:rsid w:val="7B105E92"/>
    <w:rsid w:val="7B750C9E"/>
    <w:rsid w:val="7B9427A5"/>
    <w:rsid w:val="7BECB131"/>
    <w:rsid w:val="7BFB3051"/>
    <w:rsid w:val="7C86434E"/>
    <w:rsid w:val="7D1455B5"/>
    <w:rsid w:val="7D7A54EF"/>
    <w:rsid w:val="7EFBEBD9"/>
    <w:rsid w:val="7F2F9383"/>
    <w:rsid w:val="7F7F63E6"/>
    <w:rsid w:val="7FFDACC7"/>
    <w:rsid w:val="AFCF4B2B"/>
    <w:rsid w:val="B6FE47FE"/>
    <w:rsid w:val="BBDD15F7"/>
    <w:rsid w:val="CB4C2829"/>
    <w:rsid w:val="DCBCF617"/>
    <w:rsid w:val="DEAFEDFA"/>
    <w:rsid w:val="E7CC0344"/>
    <w:rsid w:val="F56EE3AD"/>
    <w:rsid w:val="F5F42B5B"/>
    <w:rsid w:val="F769197D"/>
    <w:rsid w:val="FAFFA1C6"/>
    <w:rsid w:val="FD75C102"/>
    <w:rsid w:val="FEF5BB1A"/>
    <w:rsid w:val="FFBC80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32"/>
      <w:szCs w:val="24"/>
      <w:lang w:val="en-US" w:eastAsia="zh-CN" w:bidi="ar-SA"/>
    </w:rPr>
  </w:style>
  <w:style w:type="paragraph" w:styleId="4">
    <w:name w:val="heading 1"/>
    <w:basedOn w:val="1"/>
    <w:next w:val="1"/>
    <w:qFormat/>
    <w:uiPriority w:val="0"/>
    <w:pPr>
      <w:spacing w:beforeAutospacing="1" w:afterAutospacing="1"/>
      <w:ind w:left="200" w:leftChars="200"/>
      <w:jc w:val="left"/>
      <w:outlineLvl w:val="0"/>
    </w:pPr>
    <w:rPr>
      <w:rFonts w:hint="eastAsia" w:ascii="宋体" w:hAnsi="宋体" w:eastAsia="黑体" w:cs="Times New Roman"/>
      <w:b/>
      <w:kern w:val="44"/>
    </w:rPr>
  </w:style>
  <w:style w:type="paragraph" w:styleId="5">
    <w:name w:val="heading 2"/>
    <w:basedOn w:val="1"/>
    <w:next w:val="1"/>
    <w:unhideWhenUsed/>
    <w:qFormat/>
    <w:uiPriority w:val="0"/>
    <w:pPr>
      <w:keepNext/>
      <w:keepLines/>
      <w:spacing w:before="20" w:after="20" w:line="413" w:lineRule="auto"/>
      <w:ind w:left="200" w:leftChars="200"/>
      <w:jc w:val="left"/>
      <w:outlineLvl w:val="1"/>
    </w:pPr>
    <w:rPr>
      <w:rFonts w:ascii="Arial" w:hAnsi="Arial" w:eastAsia="楷体"/>
      <w:b/>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line="560" w:lineRule="exact"/>
      <w:ind w:firstLine="721" w:firstLineChars="200"/>
    </w:pPr>
    <w:rPr>
      <w:rFonts w:ascii="Calibri"/>
    </w:rPr>
  </w:style>
  <w:style w:type="paragraph" w:styleId="3">
    <w:name w:val="Body Text"/>
    <w:basedOn w:val="1"/>
    <w:qFormat/>
    <w:uiPriority w:val="0"/>
    <w:rPr>
      <w:rFonts w:ascii="仿宋_GB2312" w:eastAsia="仿宋_GB2312"/>
    </w:rPr>
  </w:style>
  <w:style w:type="paragraph" w:styleId="6">
    <w:name w:val="annotation text"/>
    <w:basedOn w:val="1"/>
    <w:qFormat/>
    <w:uiPriority w:val="0"/>
    <w:pPr>
      <w:jc w:val="left"/>
    </w:pPr>
  </w:style>
  <w:style w:type="paragraph" w:styleId="7">
    <w:name w:val="Balloon Text"/>
    <w:basedOn w:val="1"/>
    <w:link w:val="28"/>
    <w:qFormat/>
    <w:uiPriority w:val="0"/>
    <w:rPr>
      <w:sz w:val="18"/>
      <w:szCs w:val="18"/>
    </w:rPr>
  </w:style>
  <w:style w:type="paragraph" w:styleId="8">
    <w:name w:val="footer"/>
    <w:basedOn w:val="1"/>
    <w:qFormat/>
    <w:uiPriority w:val="99"/>
    <w:pPr>
      <w:tabs>
        <w:tab w:val="center" w:pos="4153"/>
        <w:tab w:val="right" w:pos="8306"/>
      </w:tabs>
      <w:snapToGrid w:val="0"/>
      <w:jc w:val="left"/>
    </w:pPr>
    <w:rPr>
      <w:kern w:val="0"/>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Title"/>
    <w:basedOn w:val="1"/>
    <w:next w:val="1"/>
    <w:qFormat/>
    <w:uiPriority w:val="0"/>
    <w:pPr>
      <w:widowControl/>
      <w:spacing w:line="560" w:lineRule="exact"/>
      <w:contextualSpacing/>
    </w:pPr>
    <w:rPr>
      <w:rFonts w:ascii="Inria Serif" w:hAnsi="Inria Serif" w:cs="Times New Roman (Headings CS)"/>
      <w:b/>
      <w:color w:val="0084AD"/>
      <w:spacing w:val="-10"/>
      <w:kern w:val="28"/>
      <w:sz w:val="50"/>
      <w:szCs w:val="56"/>
      <w:lang w:val="en-AU" w:eastAsia="en-U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qFormat/>
    <w:uiPriority w:val="0"/>
    <w:rPr>
      <w:color w:val="800080"/>
      <w:u w:val="none"/>
    </w:rPr>
  </w:style>
  <w:style w:type="character" w:styleId="18">
    <w:name w:val="Emphasis"/>
    <w:basedOn w:val="16"/>
    <w:qFormat/>
    <w:uiPriority w:val="0"/>
  </w:style>
  <w:style w:type="character" w:styleId="19">
    <w:name w:val="HTML Definition"/>
    <w:basedOn w:val="16"/>
    <w:qFormat/>
    <w:uiPriority w:val="0"/>
  </w:style>
  <w:style w:type="character" w:styleId="20">
    <w:name w:val="HTML Acronym"/>
    <w:basedOn w:val="16"/>
    <w:qFormat/>
    <w:uiPriority w:val="0"/>
  </w:style>
  <w:style w:type="character" w:styleId="21">
    <w:name w:val="HTML Variable"/>
    <w:basedOn w:val="16"/>
    <w:qFormat/>
    <w:uiPriority w:val="0"/>
  </w:style>
  <w:style w:type="character" w:styleId="22">
    <w:name w:val="Hyperlink"/>
    <w:basedOn w:val="16"/>
    <w:qFormat/>
    <w:uiPriority w:val="0"/>
    <w:rPr>
      <w:color w:val="0000FF"/>
      <w:u w:val="none"/>
    </w:rPr>
  </w:style>
  <w:style w:type="character" w:styleId="23">
    <w:name w:val="HTML Code"/>
    <w:basedOn w:val="16"/>
    <w:qFormat/>
    <w:uiPriority w:val="0"/>
    <w:rPr>
      <w:rFonts w:ascii="Courier New" w:hAnsi="Courier New"/>
      <w:sz w:val="20"/>
    </w:rPr>
  </w:style>
  <w:style w:type="character" w:styleId="24">
    <w:name w:val="HTML Cite"/>
    <w:basedOn w:val="16"/>
    <w:qFormat/>
    <w:uiPriority w:val="0"/>
  </w:style>
  <w:style w:type="paragraph" w:customStyle="1" w:styleId="25">
    <w:name w:val="Editable table text"/>
    <w:basedOn w:val="1"/>
    <w:qFormat/>
    <w:uiPriority w:val="0"/>
    <w:pPr>
      <w:widowControl/>
    </w:pPr>
    <w:rPr>
      <w:rFonts w:ascii="Frutiger LT Com 45 Light" w:hAnsi="Frutiger LT Com 45 Light"/>
      <w:color w:val="62B5E5"/>
      <w:kern w:val="0"/>
      <w:sz w:val="20"/>
      <w:lang w:val="en-GB" w:eastAsia="en-US"/>
    </w:rPr>
  </w:style>
  <w:style w:type="paragraph" w:customStyle="1" w:styleId="26">
    <w:name w:val="Table Bullet"/>
    <w:basedOn w:val="1"/>
    <w:qFormat/>
    <w:uiPriority w:val="0"/>
    <w:pPr>
      <w:widowControl/>
      <w:numPr>
        <w:ilvl w:val="0"/>
        <w:numId w:val="1"/>
      </w:numPr>
      <w:spacing w:after="120"/>
      <w:ind w:left="284" w:hanging="284"/>
      <w:contextualSpacing/>
    </w:pPr>
    <w:rPr>
      <w:rFonts w:ascii="Frutiger LT Com 45 Light" w:hAnsi="Frutiger LT Com 45 Light"/>
      <w:kern w:val="0"/>
      <w:sz w:val="20"/>
      <w:szCs w:val="22"/>
      <w:lang w:val="en-GB" w:eastAsia="en-US"/>
    </w:rPr>
  </w:style>
  <w:style w:type="character" w:customStyle="1" w:styleId="27">
    <w:name w:val="Editable"/>
    <w:qFormat/>
    <w:uiPriority w:val="0"/>
    <w:rPr>
      <w:rFonts w:hint="default" w:ascii="Times New Roman" w:hAnsi="Times New Roman" w:eastAsia="宋体" w:cs="Times New Roman"/>
      <w:color w:val="62B5E5"/>
    </w:rPr>
  </w:style>
  <w:style w:type="character" w:customStyle="1" w:styleId="28">
    <w:name w:val="批注框文本 字符"/>
    <w:basedOn w:val="16"/>
    <w:link w:val="7"/>
    <w:qFormat/>
    <w:uiPriority w:val="0"/>
    <w:rPr>
      <w:rFonts w:asciiTheme="minorHAnsi" w:hAnsiTheme="minorHAnsi" w:eastAsiaTheme="minorEastAsia" w:cstheme="minorBidi"/>
      <w:kern w:val="2"/>
      <w:sz w:val="18"/>
      <w:szCs w:val="18"/>
    </w:rPr>
  </w:style>
  <w:style w:type="table" w:customStyle="1" w:styleId="29">
    <w:name w:val="Table Normal"/>
    <w:semiHidden/>
    <w:unhideWhenUsed/>
    <w:qFormat/>
    <w:uiPriority w:val="0"/>
    <w:tblPr>
      <w:tblCellMar>
        <w:top w:w="0" w:type="dxa"/>
        <w:left w:w="0" w:type="dxa"/>
        <w:bottom w:w="0" w:type="dxa"/>
        <w:right w:w="0" w:type="dxa"/>
      </w:tblCellMar>
    </w:tblPr>
  </w:style>
  <w:style w:type="paragraph" w:customStyle="1" w:styleId="30">
    <w:name w:val="Table Paragraph"/>
    <w:basedOn w:val="1"/>
    <w:qFormat/>
    <w:uiPriority w:val="0"/>
  </w:style>
  <w:style w:type="paragraph" w:customStyle="1" w:styleId="3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oleObject" Target="embeddings/oleObject12.bin"/><Relationship Id="rId37" Type="http://schemas.openxmlformats.org/officeDocument/2006/relationships/oleObject" Target="embeddings/oleObject11.bin"/><Relationship Id="rId36" Type="http://schemas.openxmlformats.org/officeDocument/2006/relationships/oleObject" Target="embeddings/oleObject10.bin"/><Relationship Id="rId35" Type="http://schemas.openxmlformats.org/officeDocument/2006/relationships/image" Target="media/image18.png"/><Relationship Id="rId34" Type="http://schemas.openxmlformats.org/officeDocument/2006/relationships/oleObject" Target="embeddings/oleObject9.bin"/><Relationship Id="rId33" Type="http://schemas.openxmlformats.org/officeDocument/2006/relationships/image" Target="media/image17.png"/><Relationship Id="rId32" Type="http://schemas.openxmlformats.org/officeDocument/2006/relationships/oleObject" Target="embeddings/oleObject8.bin"/><Relationship Id="rId31" Type="http://schemas.openxmlformats.org/officeDocument/2006/relationships/image" Target="media/image16.png"/><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5.png"/><Relationship Id="rId27" Type="http://schemas.openxmlformats.org/officeDocument/2006/relationships/oleObject" Target="embeddings/oleObject5.bin"/><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oleObject" Target="embeddings/oleObject4.bin"/><Relationship Id="rId22" Type="http://schemas.openxmlformats.org/officeDocument/2006/relationships/image" Target="media/image11.png"/><Relationship Id="rId21" Type="http://schemas.openxmlformats.org/officeDocument/2006/relationships/oleObject" Target="embeddings/oleObject3.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png"/><Relationship Id="rId17" Type="http://schemas.openxmlformats.org/officeDocument/2006/relationships/oleObject" Target="embeddings/oleObject1.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58</Pages>
  <Words>802</Words>
  <Characters>841</Characters>
  <Lines>1</Lines>
  <Paragraphs>1</Paragraphs>
  <TotalTime>0</TotalTime>
  <ScaleCrop>false</ScaleCrop>
  <LinksUpToDate>false</LinksUpToDate>
  <CharactersWithSpaces>877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2023-05-09T11:25:00Z</dcterms:created>
  <dc:creator>Administrator</dc:creator>
  <cp:lastModifiedBy>晶.</cp:lastModifiedBy>
  <cp:lastPrinted>2023-05-10T21:50:00Z</cp:lastPrinted>
  <dcterms:modified xsi:type="dcterms:W3CDTF">2024-11-28T03:08:20Z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8A90DC440D0D4913A5F7F5E339195C5B_13</vt:lpwstr>
  </property>
</Properties>
</file>